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end="0"/>
        <w:jc w:val="center"/>
        <w:rPr>
          <w:rFonts w:ascii="Times New Roman" w:hAnsi="Times New Roman" w:cs="Times New Roman"/>
          <w:b/>
          <w:bCs/>
          <w:sz w:val="20"/>
          <w:szCs w:val="20"/>
          <w:u w:val="single"/>
        </w:rPr>
      </w:pPr>
      <w:r>
        <w:rPr>
          <w:rFonts w:cs="Times New Roman" w:ascii="Times New Roman" w:hAnsi="Times New Roman"/>
          <w:b/>
          <w:bCs/>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pPr>
        <w:pStyle w:val="Normal"/>
        <w:ind w:end="-1"/>
        <w:rPr>
          <w:rFonts w:ascii="Times New Roman" w:hAnsi="Times New Roman" w:cs="Times New Roman"/>
          <w:b/>
          <w:sz w:val="28"/>
          <w:szCs w:val="28"/>
        </w:rPr>
      </w:pPr>
      <w:r>
        <w:rPr>
          <w:rFonts w:cs="Times New Roman" w:ascii="Times New Roman" w:hAnsi="Times New Roman"/>
          <w:b/>
          <w:sz w:val="28"/>
          <w:szCs w:val="28"/>
        </w:rPr>
        <w:t xml:space="preserve">                                                      </w:t>
      </w:r>
    </w:p>
    <w:p>
      <w:pPr>
        <w:pStyle w:val="Normal"/>
        <w:ind w:end="-1"/>
        <w:jc w:val="center"/>
        <w:rPr>
          <w:rFonts w:ascii="Times New Roman" w:hAnsi="Times New Roman" w:cs="Times New Roman"/>
          <w:sz w:val="28"/>
          <w:szCs w:val="28"/>
        </w:rPr>
      </w:pPr>
      <w:r>
        <w:rPr>
          <w:rFonts w:cs="Times New Roman" w:ascii="Times New Roman" w:hAnsi="Times New Roman"/>
          <w:sz w:val="28"/>
          <w:szCs w:val="28"/>
        </w:rPr>
        <w:t>ПОСТАНОВЛЕНИЕ</w:t>
      </w:r>
    </w:p>
    <w:p>
      <w:pPr>
        <w:pStyle w:val="Normal"/>
        <w:ind w:end="-1"/>
        <w:rPr>
          <w:rFonts w:ascii="Times New Roman" w:hAnsi="Times New Roman" w:cs="Times New Roman"/>
          <w:sz w:val="28"/>
          <w:szCs w:val="28"/>
        </w:rPr>
      </w:pPr>
      <w:r>
        <w:rPr>
          <w:rFonts w:cs="Times New Roman" w:ascii="Times New Roman" w:hAnsi="Times New Roman"/>
          <w:sz w:val="28"/>
          <w:szCs w:val="28"/>
        </w:rPr>
        <w:t>от 30 мая 2023 года</w:t>
        <w:tab/>
        <w:tab/>
        <w:t xml:space="preserve">                                                                             № 47</w:t>
      </w:r>
    </w:p>
    <w:p>
      <w:pPr>
        <w:pStyle w:val="Normal"/>
        <w:spacing w:lineRule="auto" w:line="240" w:before="0" w:after="0"/>
        <w:jc w:val="center"/>
        <w:rPr/>
      </w:pPr>
      <w:r>
        <w:rPr>
          <w:rFonts w:cs="Times New Roman" w:ascii="Times New Roman" w:hAnsi="Times New Roman"/>
          <w:sz w:val="28"/>
          <w:szCs w:val="28"/>
        </w:rPr>
        <w:t>Об утверждении регламента реализации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администрацией Полтавского городского поселения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Полтавского муниципального района Омской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полномочий администратора доходов местного бюджета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 взысканию дебиторской задолженности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 платежам в бюджет, пеням и штрафам по ним</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39" w:end="0"/>
        <w:jc w:val="both"/>
        <w:rPr>
          <w:rFonts w:ascii="Times New Roman" w:hAnsi="Times New Roman" w:cs="Times New Roman"/>
          <w:sz w:val="28"/>
          <w:szCs w:val="28"/>
        </w:rPr>
      </w:pPr>
      <w:r>
        <w:rPr>
          <w:rFonts w:cs="Times New Roman" w:ascii="Times New Roman" w:hAnsi="Times New Roman"/>
          <w:sz w:val="28"/>
          <w:szCs w:val="28"/>
        </w:rPr>
        <w:t>В соответствии со статьей 160.1 Бюджетного кодекса Российской Федерации, приказом Министерства финансов Российской Федерации от 18.11.2022 года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Полтавского городского поселения, постановляю:</w:t>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1. Утвердить прилагаемый регламент реализации администрацией Полтавского городского поселения Полтавского муниципального района Омской области полномочий администратора доходов местного бюджета по взысканию дебиторской задолженности по платежам в бюджет, пеням и штрафам по ним.</w:t>
      </w:r>
    </w:p>
    <w:p>
      <w:pPr>
        <w:pStyle w:val="Normal"/>
        <w:spacing w:lineRule="auto" w:line="240" w:before="0" w:after="0"/>
        <w:ind w:firstLine="709" w:end="0"/>
        <w:jc w:val="both"/>
        <w:rPr/>
      </w:pPr>
      <w:r>
        <w:rPr>
          <w:rFonts w:cs="Times New Roman" w:ascii="Times New Roman" w:hAnsi="Times New Roman"/>
          <w:sz w:val="28"/>
          <w:szCs w:val="28"/>
        </w:rPr>
        <w:t>2. Настоящее постановление опубликовать (обнародовать).</w:t>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Контроль за исполнением настоящего постановления оставляю за собой.</w:t>
      </w:r>
    </w:p>
    <w:p>
      <w:pPr>
        <w:pStyle w:val="Normal"/>
        <w:autoSpaceDE w:val="false"/>
        <w:spacing w:lineRule="auto" w:line="240" w:before="0" w:after="0"/>
        <w:ind w:firstLine="709" w:end="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r>
    </w:p>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1"/>
        <w:rPr/>
      </w:pPr>
      <w:r>
        <w:rPr>
          <w:rFonts w:cs="Times New Roman" w:ascii="Times New Roman" w:hAnsi="Times New Roman"/>
          <w:sz w:val="28"/>
          <w:szCs w:val="28"/>
        </w:rPr>
        <w:t>Глава Полтавского городского поселения                                          М.И. Руденко</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end"/>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lineRule="auto" w:line="240" w:before="0" w:after="0"/>
        <w:contextualSpacing/>
        <w:jc w:val="end"/>
        <w:rPr>
          <w:rFonts w:ascii="Times New Roman" w:hAnsi="Times New Roman" w:cs="Times New Roman"/>
          <w:sz w:val="24"/>
          <w:szCs w:val="24"/>
        </w:rPr>
      </w:pPr>
      <w:r>
        <w:rPr>
          <w:rFonts w:cs="Times New Roman" w:ascii="Times New Roman" w:hAnsi="Times New Roman"/>
          <w:sz w:val="24"/>
          <w:szCs w:val="24"/>
        </w:rPr>
        <w:t xml:space="preserve">к постановлению администрации </w:t>
      </w:r>
    </w:p>
    <w:p>
      <w:pPr>
        <w:pStyle w:val="Normal"/>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Полтавского городского поселения</w:t>
      </w:r>
    </w:p>
    <w:p>
      <w:pPr>
        <w:pStyle w:val="Normal"/>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от 30.05.2023 года № 47 </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РЕГЛАМЕНТ</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 xml:space="preserve">реализации администрацией Полтавского городского поселения Полтавского муниципального района Омской области полномочий администратора </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 xml:space="preserve">доходов местного бюджета по взысканию дебиторской задолженности </w:t>
      </w:r>
    </w:p>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по платежам в бюджет, пеням и штрафам по ним</w:t>
      </w:r>
    </w:p>
    <w:p>
      <w:pPr>
        <w:pStyle w:val="Normal"/>
        <w:spacing w:lineRule="auto" w:line="240" w:before="0" w:after="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w:t>
      </w:r>
    </w:p>
    <w:p>
      <w:pPr>
        <w:pStyle w:val="Normal"/>
        <w:spacing w:lineRule="auto" w:line="240" w:before="0" w:after="0"/>
        <w:contextualSpacing/>
        <w:jc w:val="center"/>
        <w:rPr>
          <w:rFonts w:ascii="Times New Roman" w:hAnsi="Times New Roman" w:eastAsia="Calibri" w:cs="Times New Roman"/>
          <w:bCs/>
          <w:sz w:val="28"/>
          <w:szCs w:val="28"/>
        </w:rPr>
      </w:pPr>
      <w:r>
        <w:rPr>
          <w:rFonts w:eastAsia="Calibri" w:cs="Times New Roman" w:ascii="Times New Roman" w:hAnsi="Times New Roman"/>
          <w:bCs/>
          <w:sz w:val="28"/>
          <w:szCs w:val="28"/>
        </w:rPr>
        <w:t>1. Общие положения</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both"/>
        <w:rPr>
          <w:rFonts w:ascii="Times New Roman" w:hAnsi="Times New Roman" w:eastAsia="Calibri" w:cs="Times New Roman"/>
          <w:b/>
          <w:bCs/>
          <w:sz w:val="28"/>
          <w:szCs w:val="28"/>
        </w:rPr>
      </w:pPr>
      <w:r>
        <w:rPr>
          <w:rFonts w:eastAsia="Calibri" w:cs="Times New Roman" w:ascii="Times New Roman" w:hAnsi="Times New Roman"/>
          <w:bCs/>
          <w:sz w:val="28"/>
          <w:szCs w:val="28"/>
        </w:rPr>
        <w:t xml:space="preserve">1.1. Настоящий регламент устанавливает порядок реализации </w:t>
      </w:r>
      <w:r>
        <w:rPr>
          <w:rFonts w:cs="Times New Roman" w:ascii="Times New Roman" w:hAnsi="Times New Roman"/>
          <w:sz w:val="28"/>
          <w:szCs w:val="28"/>
        </w:rPr>
        <w:t>администрацией Полтавского городского поселения Полтавского муниципального района Омской области полномочий администратора доходов местного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pPr>
        <w:pStyle w:val="Normal"/>
        <w:spacing w:lineRule="auto" w:line="240" w:before="0" w:after="0"/>
        <w:ind w:firstLine="709" w:end="0"/>
        <w:jc w:val="both"/>
        <w:rPr>
          <w:rFonts w:ascii="Times New Roman" w:hAnsi="Times New Roman" w:eastAsia="Calibri" w:cs="Times New Roman"/>
          <w:b/>
          <w:bCs/>
          <w:sz w:val="28"/>
          <w:szCs w:val="28"/>
        </w:rPr>
      </w:pPr>
      <w:r>
        <w:rPr>
          <w:rFonts w:eastAsia="Calibri" w:cs="Times New Roman" w:ascii="Times New Roman" w:hAnsi="Times New Roman"/>
          <w:b/>
          <w:bCs/>
          <w:sz w:val="28"/>
          <w:szCs w:val="28"/>
        </w:rPr>
      </w:r>
    </w:p>
    <w:p>
      <w:pPr>
        <w:pStyle w:val="Normal"/>
        <w:spacing w:lineRule="auto" w:line="240" w:before="0" w:after="0"/>
        <w:jc w:val="center"/>
        <w:rPr/>
      </w:pPr>
      <w:r>
        <w:rPr>
          <w:rFonts w:eastAsia="Calibri" w:cs="Times New Roman" w:ascii="Times New Roman" w:hAnsi="Times New Roman"/>
          <w:bCs/>
          <w:sz w:val="28"/>
          <w:szCs w:val="28"/>
        </w:rPr>
        <w:t xml:space="preserve">2. Мероприятия по недопущению образования просроченной дебиторской задолженности </w:t>
      </w:r>
      <w:r>
        <w:rPr>
          <w:rFonts w:cs="Times New Roman" w:ascii="Times New Roman" w:hAnsi="Times New Roman"/>
          <w:sz w:val="28"/>
          <w:szCs w:val="28"/>
        </w:rPr>
        <w:t>по доходам</w:t>
      </w:r>
      <w:r>
        <w:rPr>
          <w:rFonts w:eastAsia="Calibri" w:cs="Times New Roman" w:ascii="Times New Roman" w:hAnsi="Times New Roman"/>
          <w:bCs/>
          <w:sz w:val="28"/>
          <w:szCs w:val="28"/>
        </w:rPr>
        <w:t>, выявлению факторов, влияющих на образование просроченной дебиторской задолженности по доходам</w:t>
      </w:r>
    </w:p>
    <w:p>
      <w:pPr>
        <w:pStyle w:val="Normal"/>
        <w:spacing w:lineRule="auto" w:line="240" w:before="0" w:after="0"/>
        <w:ind w:firstLine="709" w:end="0"/>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jc w:val="both"/>
        <w:rPr/>
      </w:pPr>
      <w:r>
        <w:rPr>
          <w:rFonts w:cs="Times New Roman" w:ascii="Times New Roman" w:hAnsi="Times New Roman"/>
          <w:sz w:val="28"/>
          <w:szCs w:val="28"/>
        </w:rPr>
        <w:t>2.1. Сотрудник администрации поселения, наделенный соответствующими полномочиями обеспечивает в порядке и сроки, предусмотренные законодательством и (или) государственным контрактом (договором), а в случае, если такие сроки не установлены – ежеквартально:</w:t>
      </w:r>
    </w:p>
    <w:p>
      <w:pPr>
        <w:pStyle w:val="Normal"/>
        <w:spacing w:lineRule="auto" w:line="240" w:before="0" w:after="0"/>
        <w:ind w:firstLine="709" w:end="0"/>
        <w:jc w:val="both"/>
        <w:rPr/>
      </w:pPr>
      <w:r>
        <w:rPr>
          <w:rFonts w:cs="Times New Roman" w:ascii="Times New Roman" w:hAnsi="Times New Roman"/>
          <w:sz w:val="28"/>
          <w:szCs w:val="28"/>
        </w:rPr>
        <w:t>2.1.1. проведение мониторинга правильности исчисления, полноты и своевременности поступления платежей в бюджет, пеням и штрафам по ним, в том числе:</w:t>
      </w:r>
    </w:p>
    <w:p>
      <w:pPr>
        <w:pStyle w:val="Normal"/>
        <w:spacing w:lineRule="auto" w:line="240" w:before="0" w:after="0"/>
        <w:ind w:firstLine="709" w:end="0"/>
        <w:jc w:val="both"/>
        <w:rPr/>
      </w:pPr>
      <w:r>
        <w:rPr>
          <w:rFonts w:cs="Times New Roman" w:ascii="Times New Roman" w:hAnsi="Times New Roman"/>
          <w:sz w:val="28"/>
          <w:szCs w:val="28"/>
        </w:rPr>
        <w:t xml:space="preserve">1) за фактическим зачислением платежей в бюджет в сроки, установленные законодательством Российской Федерации, государственным контрактом (договором); </w:t>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2) за своевременным начислением неустойки (штрафов, пени);</w:t>
      </w:r>
    </w:p>
    <w:p>
      <w:pPr>
        <w:pStyle w:val="Normal"/>
        <w:spacing w:lineRule="auto" w:line="240" w:before="0" w:after="0"/>
        <w:ind w:firstLine="709" w:end="0"/>
        <w:jc w:val="both"/>
        <w:rPr/>
      </w:pPr>
      <w:r>
        <w:rPr>
          <w:rFonts w:cs="Times New Roman" w:ascii="Times New Roman" w:hAnsi="Times New Roman"/>
          <w:sz w:val="28"/>
          <w:szCs w:val="28"/>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 xml:space="preserve">4)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p>
    <w:p>
      <w:pPr>
        <w:pStyle w:val="Normal"/>
        <w:autoSpaceDE w:val="false"/>
        <w:spacing w:lineRule="auto" w:line="240" w:before="0" w:after="0"/>
        <w:ind w:firstLine="709" w:end="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5)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2">
        <w:r>
          <w:rPr>
            <w:rStyle w:val="Hyperlink"/>
            <w:rFonts w:eastAsia="Calibri" w:cs="Times New Roman" w:ascii="Times New Roman" w:hAnsi="Times New Roman"/>
            <w:color w:val="0000FF"/>
            <w:sz w:val="28"/>
            <w:szCs w:val="28"/>
          </w:rPr>
          <w:t>статьей 21.3</w:t>
        </w:r>
      </w:hyperlink>
      <w:r>
        <w:rPr>
          <w:rFonts w:eastAsia="Calibri" w:cs="Times New Roman" w:ascii="Times New Roman" w:hAnsi="Times New Roman"/>
          <w:sz w:val="28"/>
          <w:szCs w:val="28"/>
        </w:rPr>
        <w:t xml:space="preserve"> Федерального закона от 27 июля 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w:t>
      </w:r>
      <w:hyperlink r:id="rId3">
        <w:r>
          <w:rPr>
            <w:rStyle w:val="Hyperlink"/>
            <w:rFonts w:eastAsia="Calibri" w:cs="Times New Roman" w:ascii="Times New Roman" w:hAnsi="Times New Roman"/>
            <w:color w:val="0000FF"/>
            <w:sz w:val="28"/>
            <w:szCs w:val="28"/>
          </w:rPr>
          <w:t>перечень</w:t>
        </w:r>
      </w:hyperlink>
      <w:r>
        <w:rPr>
          <w:rFonts w:eastAsia="Calibri" w:cs="Times New Roman" w:ascii="Times New Roman" w:hAnsi="Times New Roman"/>
          <w:sz w:val="28"/>
          <w:szCs w:val="28"/>
        </w:rPr>
        <w:t xml:space="preserve">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pPr>
        <w:pStyle w:val="Normal"/>
        <w:autoSpaceDE w:val="false"/>
        <w:spacing w:lineRule="auto" w:line="240" w:before="0" w:after="0"/>
        <w:ind w:firstLine="709" w:end="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признание дебиторской задолженности по доходам сомнительной;</w:t>
      </w:r>
    </w:p>
    <w:p>
      <w:pPr>
        <w:pStyle w:val="Normal"/>
        <w:autoSpaceDE w:val="false"/>
        <w:spacing w:lineRule="auto" w:line="240" w:before="0" w:after="0"/>
        <w:ind w:firstLine="709" w:end="0"/>
        <w:contextualSpacing/>
        <w:jc w:val="both"/>
        <w:rPr/>
      </w:pPr>
      <w:r>
        <w:rPr>
          <w:rFonts w:eastAsia="Calibri" w:cs="Times New Roman" w:ascii="Times New Roman" w:hAnsi="Times New Roman"/>
          <w:sz w:val="28"/>
          <w:szCs w:val="28"/>
        </w:rPr>
        <w:t>2.1.3. по мере необходимости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pPr>
        <w:pStyle w:val="Normal"/>
        <w:autoSpaceDE w:val="false"/>
        <w:spacing w:lineRule="auto" w:line="240" w:before="280" w:after="0"/>
        <w:ind w:firstLine="540" w:end="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наличия сведений о взыскании с должника денежных средств в рамках исполнительного производства;</w:t>
      </w:r>
    </w:p>
    <w:p>
      <w:pPr>
        <w:pStyle w:val="Normal"/>
        <w:autoSpaceDE w:val="false"/>
        <w:spacing w:lineRule="auto" w:line="240" w:before="280" w:after="0"/>
        <w:ind w:firstLine="540" w:end="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наличия сведений о возбуждении в отношении должника дела о банкротстве;</w:t>
      </w:r>
    </w:p>
    <w:p>
      <w:pPr>
        <w:pStyle w:val="Normal"/>
        <w:autoSpaceDE w:val="false"/>
        <w:spacing w:lineRule="auto" w:line="240" w:before="280" w:after="0"/>
        <w:ind w:firstLine="540" w:end="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2.1.4 своевременно принимает решение о признании безнадежной задолженности по платежам в местный бюджет и о ее списании;</w:t>
      </w:r>
    </w:p>
    <w:p>
      <w:pPr>
        <w:pStyle w:val="Normal"/>
        <w:autoSpaceDE w:val="false"/>
        <w:spacing w:lineRule="auto" w:line="240" w:before="280" w:after="0"/>
        <w:ind w:firstLine="540" w:end="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pPr>
        <w:pStyle w:val="Normal"/>
        <w:autoSpaceDE w:val="false"/>
        <w:spacing w:lineRule="auto" w:line="240" w:before="280" w:after="0"/>
        <w:ind w:firstLine="540" w:end="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contextualSpacing/>
        <w:jc w:val="center"/>
        <w:rPr/>
      </w:pPr>
      <w:r>
        <w:rPr>
          <w:rFonts w:eastAsia="Calibri" w:cs="Times New Roman" w:ascii="Times New Roman" w:hAnsi="Times New Roman"/>
          <w:bCs/>
          <w:sz w:val="28"/>
          <w:szCs w:val="28"/>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br/>
        <w:t>по их принудительному взысканию)</w:t>
      </w:r>
    </w:p>
    <w:p>
      <w:pPr>
        <w:pStyle w:val="Normal"/>
        <w:autoSpaceDE w:val="false"/>
        <w:spacing w:lineRule="auto" w:line="240" w:before="280" w:after="0"/>
        <w:ind w:firstLine="540"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1) направление требования должнику о погашении дебиторской задолженности по доходам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(далее – требование);</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2) направление претензии должнику о погашении дебиторской задолженности по доходам в досудебном порядке в установленный законом или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муниципальным контрактом (договором) (далее – претензия);</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3) рассмотрение вопроса о возможности расторжения государственного контракта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w:t>
        <w:br/>
        <w:t>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Полтавским городским поселением при предъявлении (объединении) требований в деле о банкротстве и в процедурах, применяемых в деле о банкротстве.</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течении 10 календарных дней со дня когда стало известно о возникновении дебиторской задолженности:</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1) производится расчет задолженности;</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2) должнику направляется  требование (претензия) с приложением расчета задолженности и ее погашении; </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3.4. В требовании (претензии) указываются:</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1) наименование должника;</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2) наименование и реквизиты документа, являющегося основанием для начисления суммы, подлежащей уплате должником;</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3)  период образования просрочки внесения платы;</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4) сумма просроченной дебиторской задолженности по платежам, пени;</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5) сумма штрафных санкций (при их наличии);</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7) реквизиты для перечисления просроченной дебиторской задолженности;</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8) информация об ответственном исполнителе, подготовившем требование (претензию) об оплате просроченной дебиторской задолженности и расчет платы по ней.</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Требование подписывается главой Полтавского городского поселения.</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3.5. Срок для добровольного погашения дебиторской задолженности по доходам составляет 30 календарных дней со дня направления должнику требования (претензии), если иное не установлено условиями договора (муниципального контракта, соглашения) либо действующим законодательством Российской Федерации.</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center"/>
        <w:rPr>
          <w:rFonts w:ascii="Times New Roman" w:hAnsi="Times New Roman" w:eastAsia="Calibri" w:cs="Times New Roman"/>
          <w:bCs/>
          <w:sz w:val="28"/>
          <w:szCs w:val="28"/>
        </w:rPr>
      </w:pPr>
      <w:r>
        <w:rPr>
          <w:rFonts w:eastAsia="Calibri" w:cs="Times New Roman" w:ascii="Times New Roman" w:hAnsi="Times New Roman"/>
          <w:bCs/>
          <w:sz w:val="28"/>
          <w:szCs w:val="28"/>
        </w:rPr>
        <w:t>4. Мероприятия по принудительному взысканию дебиторской задолженности по доходам</w:t>
      </w:r>
    </w:p>
    <w:p>
      <w:pPr>
        <w:pStyle w:val="Normal"/>
        <w:spacing w:lineRule="auto" w:line="240" w:before="0" w:after="0"/>
        <w:ind w:firstLine="709" w:end="0"/>
        <w:contextualSpacing/>
        <w:jc w:val="center"/>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1) копии документов, являющихся основанием для начисления сумм, подлежащих уплате должником, со всеми приложениями к ним;</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2) сведения о должнике, позволяющие его идентифицировать;</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3) расчет платы с указанием сумм основного долга, пени, штрафных санкций;</w:t>
      </w:r>
    </w:p>
    <w:p>
      <w:pPr>
        <w:pStyle w:val="Normal"/>
        <w:spacing w:lineRule="auto" w:line="240" w:before="0" w:after="0"/>
        <w:ind w:firstLine="709" w:end="0"/>
        <w:contextualSpacing/>
        <w:jc w:val="both"/>
        <w:rPr/>
      </w:pPr>
      <w:r>
        <w:rPr>
          <w:rFonts w:eastAsia="Calibri" w:cs="Times New Roman" w:ascii="Times New Roman" w:hAnsi="Times New Roman"/>
          <w:bCs/>
          <w:sz w:val="28"/>
          <w:szCs w:val="28"/>
        </w:rPr>
        <w:t>4) копии требования (претензии) с доказательствами его отправки должнику;</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5) иные документы и материалы, необходимые для подачи искового заявления.</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Times New Roman" w:cs="Times New Roman" w:ascii="Times New Roman" w:hAnsi="Times New Roman"/>
          <w:bCs/>
          <w:sz w:val="28"/>
          <w:szCs w:val="28"/>
        </w:rPr>
        <w:t xml:space="preserve"> </w:t>
      </w:r>
      <w:r>
        <w:rPr>
          <w:rFonts w:eastAsia="Calibri" w:cs="Times New Roman" w:ascii="Times New Roman" w:hAnsi="Times New Roman"/>
          <w:bCs/>
          <w:sz w:val="28"/>
          <w:szCs w:val="28"/>
        </w:rPr>
        <w:t>4.4. документы о ходе претензионно- исковой работы по взысканию задолженности, в том числе судебные акты, на бумажном носителе хранятся в администрации поселения.</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4.5 при принятии судом решения о полном или частичном отказе в удовлетворении заявленных исковых требованиях администрации, обеспечивается принятие исчерпывающих мер по обжалованию судебных актов при наличии к тому оснований.</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4.6. При удовлетворении требований искового заявления и получения исполнительных документов, выданных на основании судебных постановлений о взыскании дебиторской задолженности по доходам, сотрудник администрации направляет исполнительные документы о взыскании дебиторской задолженности по доходам на исполнение в соответствующие территориальные подразделения Федеральной службы судебных приставов в сроки, случаях и порядке, установленных законодательством Российской Федерации. </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4.7.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осуществляет информационное взаимодействие со службой судебных приставов, в том числе проводит следующие мероприятия: </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1) направляет в службу судебных приставов заявление (ходатайство) о предоставлении информации о ходе исполнительного производства, в том числе:</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об изменении наименования должника (для граждан – фамилия, имя, отчество (при наличии), для организаций – наименование и юридический адрес);</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о сумме непогашенной задолженности по исполнительному документу;</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 о наличии данных об объявлении розыска должника, его имущества; </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 об изменении состояния счетов/вкладов должника, имуществе и правах имущественного характера должника на дату запроса;</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2) организует и проводит рабочие встречи со службой судебных приставов о результатах работы по исполнительному производству;</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02.10.2007г №229-ФЗ «Об исполнительном производстве»;</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4) проводит мониторинг эффективности взыскания просроченной дебиторской задолженности в рамках исполнительного производства.</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t>4.8.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0"/>
        <w:ind w:firstLine="709" w:end="0"/>
        <w:contextualSpacing/>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autoSpaceDE w:val="false"/>
        <w:spacing w:lineRule="auto" w:line="240" w:before="0" w:after="0"/>
        <w:ind w:firstLine="709" w:end="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709" w:end="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end="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sectPr>
      <w:headerReference w:type="default" r:id="rId4"/>
      <w:footerReference w:type="default" r:id="rId5"/>
      <w:type w:val="nextPage"/>
      <w:pgSz w:w="11906" w:h="16838"/>
      <w:pgMar w:left="1559" w:right="709"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cc" w:characterSet="windows-1251"/>
    <w:family w:val="swiss"/>
    <w:pitch w:val="variable"/>
  </w:font>
  <w:font w:name="Courier New">
    <w:charset w:val="cc" w:characterSet="windows-1251"/>
    <w:family w:val="modern"/>
    <w:pitch w:val="default"/>
  </w:font>
  <w:font w:name="Wingdings">
    <w:charset w:val="02"/>
    <w:family w:val="auto"/>
    <w:pitch w:val="variable"/>
  </w:font>
  <w:font w:name="Liberation Sans">
    <w:altName w:val="Arial"/>
    <w:charset w:val="01" w:characterSet="utf-8"/>
    <w:family w:val="swiss"/>
    <w:pitch w:val="variable"/>
  </w:font>
  <w:font w:name="Arial">
    <w:charset w:val="cc" w:characterSet="windows-1251"/>
    <w:family w:val="swiss"/>
    <w:pitch w:val="variable"/>
  </w:font>
  <w:font w:name="Times New Roman">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3z0">
    <w:name w:val="WW8Num3z0"/>
    <w:qFormat/>
    <w:rPr/>
  </w:style>
  <w:style w:type="character" w:styleId="Style14">
    <w:name w:val="Основной шрифт абзаца"/>
    <w:qFormat/>
    <w:rPr/>
  </w:style>
  <w:style w:type="character" w:styleId="Style15">
    <w:name w:val="Верхний колонтитул Знак"/>
    <w:basedOn w:val="Style14"/>
    <w:qFormat/>
    <w:rPr>
      <w:rFonts w:eastAsia="Times New Roman"/>
      <w:sz w:val="22"/>
      <w:szCs w:val="22"/>
    </w:rPr>
  </w:style>
  <w:style w:type="character" w:styleId="Style16">
    <w:name w:val="Нижний колонтитул Знак"/>
    <w:basedOn w:val="Style14"/>
    <w:qFormat/>
    <w:rPr>
      <w:rFonts w:eastAsia="Times New Roman"/>
      <w:sz w:val="22"/>
      <w:szCs w:val="22"/>
    </w:rPr>
  </w:style>
  <w:style w:type="character" w:styleId="Hyperlink">
    <w:name w:val="Hyperlink"/>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onsTitle">
    <w:name w:val="ConsTitle"/>
    <w:qFormat/>
    <w:pPr>
      <w:widowControl w:val="false"/>
      <w:autoSpaceDE w:val="false"/>
      <w:bidi w:val="0"/>
      <w:ind w:hanging="0" w:start="0" w:end="19772"/>
    </w:pPr>
    <w:rPr>
      <w:rFonts w:ascii="Arial" w:hAnsi="Arial" w:eastAsia="Times New Roman" w:cs="Arial"/>
      <w:b/>
      <w:bCs/>
      <w:color w:val="auto"/>
      <w:sz w:val="16"/>
      <w:szCs w:val="16"/>
      <w:lang w:val="ru-RU" w:bidi="ar-SA" w:eastAsia="zh-CN"/>
    </w:rPr>
  </w:style>
  <w:style w:type="paragraph" w:styleId="ConsPlusNormal">
    <w:name w:val="ConsPlusNormal"/>
    <w:qFormat/>
    <w:pPr>
      <w:widowControl w:val="false"/>
      <w:autoSpaceDE w:val="false"/>
      <w:bidi w:val="0"/>
    </w:pPr>
    <w:rPr>
      <w:rFonts w:ascii="Calibri" w:hAnsi="Calibri" w:eastAsia="Times New Roman" w:cs="Calibri"/>
      <w:color w:val="auto"/>
      <w:sz w:val="22"/>
      <w:szCs w:val="20"/>
      <w:lang w:val="ru-RU" w:bidi="ar-SA" w:eastAsia="zh-CN"/>
    </w:rPr>
  </w:style>
  <w:style w:type="paragraph" w:styleId="ConsPlusTitle">
    <w:name w:val="ConsPlusTitle"/>
    <w:qFormat/>
    <w:pPr>
      <w:widowControl w:val="false"/>
      <w:autoSpaceDE w:val="false"/>
      <w:bidi w:val="0"/>
    </w:pPr>
    <w:rPr>
      <w:rFonts w:ascii="Calibri" w:hAnsi="Calibri" w:eastAsia="Times New Roman" w:cs="Calibri"/>
      <w:b/>
      <w:color w:val="auto"/>
      <w:sz w:val="22"/>
      <w:szCs w:val="20"/>
      <w:lang w:val="ru-RU" w:bidi="ar-SA" w:eastAsia="zh-CN"/>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0">
    <w:name w:val="Абзац списка"/>
    <w:basedOn w:val="Normal"/>
    <w:qFormat/>
    <w:pPr>
      <w:spacing w:lineRule="auto" w:line="240" w:before="0" w:after="0"/>
      <w:ind w:hanging="0" w:start="720" w:end="0"/>
      <w:contextualSpacing/>
    </w:pPr>
    <w:rPr>
      <w:rFonts w:ascii="Times New Roman" w:hAnsi="Times New Roman" w:cs="Times New Roman"/>
      <w:sz w:val="20"/>
      <w:szCs w:val="20"/>
    </w:rPr>
  </w:style>
  <w:style w:type="paragraph" w:styleId="Style21">
    <w:name w:val="Без интервала"/>
    <w:qFormat/>
    <w:pPr>
      <w:widowControl/>
      <w:bidi w:val="0"/>
    </w:pPr>
    <w:rPr>
      <w:rFonts w:ascii="Calibri" w:hAnsi="Calibri" w:eastAsia="Times New Roman" w:cs="Times New Roman"/>
      <w:color w:val="auto"/>
      <w:sz w:val="22"/>
      <w:szCs w:val="22"/>
      <w:lang w:val="ru-RU" w:bidi="ar-SA" w:eastAsia="zh-C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5AB2B5E55DB132EB7E84C154834B2824CA63A8CE074B712C785FA45728DA82FE5C397914F944E7C68137758E7AE65F1C0A548B61ET1K2I" TargetMode="External"/><Relationship Id="rId3" Type="http://schemas.openxmlformats.org/officeDocument/2006/relationships/hyperlink" Target="consultantplus://offline/ref=E5AB2B5E55DB132EB7E84C154834B2824CA7398DE377B712C785FA45728DA82FE5C397914D924528305C7604A2FC76F0C2A54AB302133EBBTEK0I"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1286</TotalTime>
  <Application>LibreOffice/7.6.5.2$Linux_X86_64 LibreOffice_project/60$Build-2</Application>
  <AppVersion>15.0000</AppVersion>
  <Pages>6</Pages>
  <Words>1660</Words>
  <Characters>12416</Characters>
  <CharactersWithSpaces>14196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2020-01-13T18:35:00Z</dcterms:created>
  <dc:creator>Кадры</dc:creator>
  <dc:description/>
  <cp:keywords/>
  <dc:language>ru-RU</dc:language>
  <cp:lastModifiedBy>Specialist</cp:lastModifiedBy>
  <cp:lastPrinted>2023-05-31T15:16:00Z</cp:lastPrinted>
  <dcterms:modified xsi:type="dcterms:W3CDTF">2023-05-31T15:18:00Z</dcterms:modified>
  <cp:revision>146</cp:revision>
  <dc:subject/>
  <dc:title/>
</cp:coreProperties>
</file>