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775" w:rsidRPr="00F02775" w:rsidRDefault="00F02775" w:rsidP="00F02775">
      <w:pPr>
        <w:pStyle w:val="Con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ED542A" w:rsidRDefault="00ED542A" w:rsidP="00ED542A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</w:t>
      </w:r>
      <w:r>
        <w:rPr>
          <w:rFonts w:ascii="Times New Roman" w:hAnsi="Times New Roman" w:cs="Times New Roman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sz w:val="24"/>
          <w:szCs w:val="24"/>
          <w:u w:val="single"/>
        </w:rPr>
        <w:t>ципального района Омской области</w:t>
      </w:r>
    </w:p>
    <w:p w:rsidR="00ED542A" w:rsidRDefault="00ED542A" w:rsidP="00ED542A">
      <w:pPr>
        <w:pStyle w:val="ConsTitle"/>
        <w:widowControl/>
        <w:rPr>
          <w:rFonts w:ascii="Times New Roman" w:hAnsi="Times New Roman" w:cs="Times New Roman"/>
        </w:rPr>
      </w:pPr>
    </w:p>
    <w:p w:rsidR="00ED542A" w:rsidRPr="00FC64EF" w:rsidRDefault="00ED542A" w:rsidP="00ED542A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ED542A" w:rsidRDefault="00ED542A" w:rsidP="00ED542A">
      <w:pPr>
        <w:spacing w:line="20" w:lineRule="atLeast"/>
        <w:rPr>
          <w:sz w:val="28"/>
          <w:szCs w:val="28"/>
        </w:rPr>
      </w:pPr>
    </w:p>
    <w:p w:rsidR="00ED542A" w:rsidRPr="008B1B70" w:rsidRDefault="00ED542A" w:rsidP="00ED542A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ED542A" w:rsidRPr="00F77B53" w:rsidRDefault="00ED542A" w:rsidP="00ED54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E5CC4">
        <w:rPr>
          <w:sz w:val="28"/>
          <w:szCs w:val="28"/>
        </w:rPr>
        <w:t>24</w:t>
      </w:r>
      <w:r>
        <w:rPr>
          <w:sz w:val="28"/>
          <w:szCs w:val="28"/>
        </w:rPr>
        <w:t xml:space="preserve"> апреля 2023</w:t>
      </w:r>
      <w:r w:rsidRPr="00F77B53">
        <w:rPr>
          <w:sz w:val="28"/>
          <w:szCs w:val="28"/>
        </w:rPr>
        <w:t xml:space="preserve"> года                                                                               № </w:t>
      </w:r>
      <w:r w:rsidR="00EE5CC4">
        <w:rPr>
          <w:sz w:val="28"/>
          <w:szCs w:val="28"/>
        </w:rPr>
        <w:t>30</w:t>
      </w:r>
    </w:p>
    <w:p w:rsidR="00ED542A" w:rsidRPr="00F77B53" w:rsidRDefault="00ED542A" w:rsidP="00ED542A">
      <w:pPr>
        <w:ind w:firstLine="709"/>
        <w:jc w:val="center"/>
        <w:rPr>
          <w:bCs/>
          <w:sz w:val="28"/>
          <w:szCs w:val="28"/>
        </w:rPr>
      </w:pPr>
    </w:p>
    <w:p w:rsidR="00ED542A" w:rsidRDefault="00ED542A" w:rsidP="00ED542A">
      <w:pPr>
        <w:tabs>
          <w:tab w:val="left" w:pos="3100"/>
        </w:tabs>
        <w:jc w:val="center"/>
        <w:rPr>
          <w:sz w:val="28"/>
          <w:szCs w:val="28"/>
        </w:rPr>
      </w:pPr>
    </w:p>
    <w:p w:rsidR="00ED542A" w:rsidRPr="00F77B53" w:rsidRDefault="00ED542A" w:rsidP="00ED542A">
      <w:pPr>
        <w:tabs>
          <w:tab w:val="left" w:pos="3100"/>
        </w:tabs>
        <w:jc w:val="center"/>
        <w:rPr>
          <w:sz w:val="28"/>
          <w:szCs w:val="28"/>
        </w:rPr>
      </w:pPr>
      <w:r w:rsidRPr="00F77B53">
        <w:rPr>
          <w:sz w:val="28"/>
          <w:szCs w:val="28"/>
        </w:rPr>
        <w:t>О заключении контрольно-счетного органа</w:t>
      </w:r>
      <w:r>
        <w:rPr>
          <w:sz w:val="28"/>
          <w:szCs w:val="28"/>
        </w:rPr>
        <w:t xml:space="preserve"> Полтавского муниципального </w:t>
      </w:r>
      <w:r w:rsidRPr="00F77B53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F77B53">
        <w:rPr>
          <w:sz w:val="28"/>
          <w:szCs w:val="28"/>
        </w:rPr>
        <w:t>на годовой отчет об исполнении</w:t>
      </w:r>
    </w:p>
    <w:p w:rsidR="00ED542A" w:rsidRPr="00F77B53" w:rsidRDefault="00ED542A" w:rsidP="00ED542A">
      <w:pPr>
        <w:tabs>
          <w:tab w:val="left" w:pos="31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местного бюджета за  2022</w:t>
      </w:r>
      <w:r w:rsidRPr="00F77B53">
        <w:rPr>
          <w:sz w:val="28"/>
          <w:szCs w:val="28"/>
        </w:rPr>
        <w:t xml:space="preserve"> год</w:t>
      </w:r>
    </w:p>
    <w:p w:rsidR="00ED542A" w:rsidRPr="00F77B53" w:rsidRDefault="00ED542A" w:rsidP="00ED542A">
      <w:pPr>
        <w:tabs>
          <w:tab w:val="left" w:pos="3100"/>
        </w:tabs>
        <w:jc w:val="center"/>
        <w:rPr>
          <w:sz w:val="28"/>
          <w:szCs w:val="28"/>
        </w:rPr>
      </w:pPr>
    </w:p>
    <w:p w:rsidR="00ED542A" w:rsidRDefault="00ED542A" w:rsidP="00ED542A">
      <w:pPr>
        <w:tabs>
          <w:tab w:val="left" w:pos="3100"/>
        </w:tabs>
        <w:jc w:val="both"/>
        <w:rPr>
          <w:sz w:val="28"/>
          <w:szCs w:val="28"/>
        </w:rPr>
      </w:pPr>
    </w:p>
    <w:p w:rsidR="00ED542A" w:rsidRPr="00F77B53" w:rsidRDefault="00ED542A" w:rsidP="00ED542A">
      <w:pPr>
        <w:tabs>
          <w:tab w:val="left" w:pos="3100"/>
        </w:tabs>
        <w:jc w:val="both"/>
        <w:rPr>
          <w:sz w:val="28"/>
          <w:szCs w:val="28"/>
        </w:rPr>
      </w:pPr>
    </w:p>
    <w:p w:rsidR="00ED542A" w:rsidRPr="00F77B53" w:rsidRDefault="00ED542A" w:rsidP="00ED542A">
      <w:pPr>
        <w:tabs>
          <w:tab w:val="left" w:pos="3100"/>
        </w:tabs>
        <w:jc w:val="both"/>
        <w:rPr>
          <w:sz w:val="28"/>
          <w:szCs w:val="28"/>
        </w:rPr>
      </w:pPr>
      <w:r w:rsidRPr="00F77B53">
        <w:rPr>
          <w:sz w:val="28"/>
          <w:szCs w:val="28"/>
        </w:rPr>
        <w:t xml:space="preserve">       Руководствуясь Бюджетным Кодексом Российской Федерации, Уставом </w:t>
      </w:r>
      <w:r>
        <w:rPr>
          <w:sz w:val="28"/>
          <w:szCs w:val="28"/>
        </w:rPr>
        <w:t>Полтавского городского</w:t>
      </w:r>
      <w:r w:rsidRPr="00F77B53">
        <w:rPr>
          <w:sz w:val="28"/>
          <w:szCs w:val="28"/>
        </w:rPr>
        <w:t xml:space="preserve"> поселения, Положением о бюджетном процессе в </w:t>
      </w:r>
      <w:r>
        <w:rPr>
          <w:sz w:val="28"/>
          <w:szCs w:val="28"/>
        </w:rPr>
        <w:t>Полтавском городском</w:t>
      </w:r>
      <w:r w:rsidRPr="00F77B53">
        <w:rPr>
          <w:sz w:val="28"/>
          <w:szCs w:val="28"/>
        </w:rPr>
        <w:t xml:space="preserve"> поселении, Положением  «О Контрольно-счетном органе</w:t>
      </w:r>
      <w:r w:rsidRPr="00F77B53">
        <w:t xml:space="preserve"> </w:t>
      </w:r>
      <w:r>
        <w:rPr>
          <w:sz w:val="28"/>
          <w:szCs w:val="28"/>
        </w:rPr>
        <w:t>Полтавского городского</w:t>
      </w:r>
      <w:r w:rsidRPr="00F77B53">
        <w:rPr>
          <w:sz w:val="28"/>
          <w:szCs w:val="28"/>
        </w:rPr>
        <w:t xml:space="preserve"> поселения», Совет </w:t>
      </w:r>
      <w:r>
        <w:rPr>
          <w:sz w:val="28"/>
          <w:szCs w:val="28"/>
        </w:rPr>
        <w:t>Полтавского городского</w:t>
      </w:r>
      <w:r w:rsidRPr="00F77B53">
        <w:rPr>
          <w:sz w:val="28"/>
          <w:szCs w:val="28"/>
        </w:rPr>
        <w:t xml:space="preserve"> поселения РЕШИЛ:</w:t>
      </w:r>
    </w:p>
    <w:p w:rsidR="00ED542A" w:rsidRPr="00F77B53" w:rsidRDefault="00ED542A" w:rsidP="00ED542A">
      <w:pPr>
        <w:tabs>
          <w:tab w:val="left" w:pos="3100"/>
        </w:tabs>
        <w:jc w:val="both"/>
        <w:rPr>
          <w:sz w:val="28"/>
          <w:szCs w:val="28"/>
        </w:rPr>
      </w:pPr>
    </w:p>
    <w:p w:rsidR="00ED542A" w:rsidRPr="00F77B53" w:rsidRDefault="00ED542A" w:rsidP="00ED542A">
      <w:pPr>
        <w:tabs>
          <w:tab w:val="left" w:pos="3100"/>
        </w:tabs>
        <w:jc w:val="both"/>
        <w:rPr>
          <w:sz w:val="28"/>
          <w:szCs w:val="28"/>
        </w:rPr>
      </w:pPr>
      <w:r w:rsidRPr="00F77B53">
        <w:rPr>
          <w:sz w:val="28"/>
          <w:szCs w:val="28"/>
        </w:rPr>
        <w:t xml:space="preserve">       1. Заключение контрольно-счетного органа Полтавского муниципального района на годовой  отчет об исп</w:t>
      </w:r>
      <w:r>
        <w:rPr>
          <w:sz w:val="28"/>
          <w:szCs w:val="28"/>
        </w:rPr>
        <w:t>олнении местного бюджета за 2022</w:t>
      </w:r>
      <w:r w:rsidRPr="00F77B53">
        <w:rPr>
          <w:sz w:val="28"/>
          <w:szCs w:val="28"/>
        </w:rPr>
        <w:t xml:space="preserve"> год принять к сведению (прилагается).</w:t>
      </w:r>
    </w:p>
    <w:p w:rsidR="00ED542A" w:rsidRPr="00F77B53" w:rsidRDefault="00ED542A" w:rsidP="00ED542A">
      <w:pPr>
        <w:tabs>
          <w:tab w:val="left" w:pos="3100"/>
        </w:tabs>
        <w:jc w:val="both"/>
        <w:rPr>
          <w:sz w:val="28"/>
          <w:szCs w:val="28"/>
        </w:rPr>
      </w:pPr>
      <w:r w:rsidRPr="00F77B53">
        <w:rPr>
          <w:sz w:val="28"/>
          <w:szCs w:val="28"/>
        </w:rPr>
        <w:t xml:space="preserve">      2. Настоящее решение опубликовать (обнародовать).</w:t>
      </w:r>
    </w:p>
    <w:p w:rsidR="00ED542A" w:rsidRPr="00F77B53" w:rsidRDefault="00ED542A" w:rsidP="00ED542A">
      <w:pPr>
        <w:tabs>
          <w:tab w:val="left" w:pos="3100"/>
        </w:tabs>
        <w:jc w:val="both"/>
        <w:rPr>
          <w:sz w:val="28"/>
          <w:szCs w:val="28"/>
        </w:rPr>
      </w:pPr>
    </w:p>
    <w:p w:rsidR="00ED542A" w:rsidRDefault="00ED542A" w:rsidP="00ED54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542A" w:rsidRDefault="00ED542A" w:rsidP="00ED54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542A" w:rsidRPr="00966382" w:rsidRDefault="00ED542A" w:rsidP="00ED542A">
      <w:pPr>
        <w:pStyle w:val="a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96638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9663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ED542A" w:rsidRPr="00966382" w:rsidRDefault="00ED542A" w:rsidP="00ED542A">
      <w:pPr>
        <w:pStyle w:val="af1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</w:t>
      </w:r>
      <w:r w:rsidR="00EE5CC4">
        <w:rPr>
          <w:rFonts w:ascii="Times New Roman" w:hAnsi="Times New Roman"/>
          <w:sz w:val="28"/>
          <w:szCs w:val="28"/>
        </w:rPr>
        <w:t>М.И.Руденко</w:t>
      </w:r>
    </w:p>
    <w:p w:rsidR="00ED542A" w:rsidRDefault="00ED542A" w:rsidP="00ED542A">
      <w:pPr>
        <w:pStyle w:val="af1"/>
        <w:rPr>
          <w:rFonts w:ascii="Times New Roman" w:hAnsi="Times New Roman"/>
          <w:sz w:val="28"/>
          <w:szCs w:val="28"/>
        </w:rPr>
      </w:pPr>
    </w:p>
    <w:p w:rsidR="00ED542A" w:rsidRPr="00966382" w:rsidRDefault="00ED542A" w:rsidP="00ED542A">
      <w:pPr>
        <w:pStyle w:val="af1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ED542A" w:rsidRDefault="00ED542A" w:rsidP="00ED542A">
      <w:pPr>
        <w:rPr>
          <w:sz w:val="28"/>
          <w:szCs w:val="28"/>
        </w:rPr>
      </w:pPr>
      <w:r w:rsidRPr="00966382">
        <w:rPr>
          <w:sz w:val="28"/>
          <w:szCs w:val="28"/>
        </w:rPr>
        <w:t xml:space="preserve">Полтавского городского поселения                                                </w:t>
      </w:r>
      <w:r>
        <w:rPr>
          <w:sz w:val="28"/>
          <w:szCs w:val="28"/>
        </w:rPr>
        <w:t xml:space="preserve">Ю.В.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ED542A" w:rsidRDefault="00ED542A" w:rsidP="00ED542A">
      <w:pPr>
        <w:rPr>
          <w:sz w:val="28"/>
          <w:szCs w:val="28"/>
        </w:rPr>
      </w:pPr>
    </w:p>
    <w:p w:rsidR="00ED542A" w:rsidRDefault="00ED542A" w:rsidP="00ED542A">
      <w:pPr>
        <w:rPr>
          <w:sz w:val="28"/>
          <w:szCs w:val="28"/>
        </w:rPr>
      </w:pPr>
    </w:p>
    <w:p w:rsidR="00ED542A" w:rsidRDefault="00ED542A" w:rsidP="00ED542A">
      <w:pPr>
        <w:rPr>
          <w:sz w:val="28"/>
          <w:szCs w:val="28"/>
        </w:rPr>
      </w:pPr>
    </w:p>
    <w:p w:rsidR="00ED542A" w:rsidRDefault="00ED542A" w:rsidP="00ED542A">
      <w:pPr>
        <w:rPr>
          <w:sz w:val="28"/>
          <w:szCs w:val="28"/>
        </w:rPr>
      </w:pPr>
    </w:p>
    <w:p w:rsidR="00B62C34" w:rsidRDefault="00B62C34">
      <w:pPr>
        <w:contextualSpacing/>
        <w:jc w:val="both"/>
      </w:pPr>
    </w:p>
    <w:p w:rsidR="00ED542A" w:rsidRDefault="00ED542A">
      <w:pPr>
        <w:contextualSpacing/>
        <w:jc w:val="both"/>
      </w:pPr>
    </w:p>
    <w:p w:rsidR="00ED542A" w:rsidRDefault="00ED542A">
      <w:pPr>
        <w:contextualSpacing/>
        <w:jc w:val="both"/>
      </w:pPr>
    </w:p>
    <w:p w:rsidR="00ED542A" w:rsidRDefault="00ED542A">
      <w:pPr>
        <w:contextualSpacing/>
        <w:jc w:val="both"/>
      </w:pPr>
    </w:p>
    <w:p w:rsidR="00ED542A" w:rsidRDefault="00ED542A">
      <w:pPr>
        <w:contextualSpacing/>
        <w:jc w:val="both"/>
      </w:pPr>
    </w:p>
    <w:p w:rsidR="00ED542A" w:rsidRDefault="00ED542A">
      <w:pPr>
        <w:contextualSpacing/>
        <w:jc w:val="both"/>
      </w:pPr>
    </w:p>
    <w:p w:rsidR="00ED542A" w:rsidRDefault="00ED542A">
      <w:pPr>
        <w:contextualSpacing/>
        <w:jc w:val="both"/>
      </w:pPr>
    </w:p>
    <w:p w:rsidR="00ED542A" w:rsidRDefault="00ED542A">
      <w:pPr>
        <w:contextualSpacing/>
        <w:jc w:val="both"/>
      </w:pPr>
    </w:p>
    <w:p w:rsidR="00ED542A" w:rsidRDefault="00ED542A">
      <w:pPr>
        <w:contextualSpacing/>
        <w:jc w:val="both"/>
      </w:pPr>
    </w:p>
    <w:p w:rsidR="00ED542A" w:rsidRDefault="00ED542A">
      <w:pPr>
        <w:contextualSpacing/>
        <w:jc w:val="both"/>
      </w:pPr>
    </w:p>
    <w:p w:rsidR="00B62C34" w:rsidRDefault="00650BFF">
      <w:pPr>
        <w:contextualSpacing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ЗАКЛЮЧЕНИЕ №  </w:t>
      </w:r>
      <w:r w:rsidR="006D35F1">
        <w:rPr>
          <w:rFonts w:eastAsia="Calibri"/>
          <w:b/>
          <w:lang w:eastAsia="en-US"/>
        </w:rPr>
        <w:t>16</w:t>
      </w:r>
    </w:p>
    <w:p w:rsidR="00B62C34" w:rsidRDefault="00650BFF">
      <w:pPr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о результатах экспертно-аналитического мероприятия «Внешняя проверка годового отчета   об исполнении бюджета </w:t>
      </w:r>
      <w:r>
        <w:rPr>
          <w:b/>
          <w:color w:val="333333"/>
        </w:rPr>
        <w:t>Полтавского городского</w:t>
      </w:r>
      <w:r>
        <w:rPr>
          <w:rFonts w:eastAsia="Calibri"/>
          <w:b/>
          <w:lang w:eastAsia="en-US"/>
        </w:rPr>
        <w:t xml:space="preserve"> поселения Полтавского муниципального района  за 202</w:t>
      </w:r>
      <w:r w:rsidR="0030546B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 xml:space="preserve"> год».</w:t>
      </w:r>
    </w:p>
    <w:p w:rsidR="00B62C34" w:rsidRDefault="0030546B">
      <w:pPr>
        <w:spacing w:after="200" w:line="276" w:lineRule="auto"/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19</w:t>
      </w:r>
      <w:r w:rsidR="00650BFF">
        <w:rPr>
          <w:rFonts w:eastAsia="Calibri"/>
          <w:lang w:eastAsia="en-US"/>
        </w:rPr>
        <w:t xml:space="preserve">  апреля 202</w:t>
      </w:r>
      <w:r>
        <w:rPr>
          <w:rFonts w:eastAsia="Calibri"/>
          <w:lang w:eastAsia="en-US"/>
        </w:rPr>
        <w:t>3</w:t>
      </w:r>
      <w:r w:rsidR="00650BFF">
        <w:rPr>
          <w:rFonts w:eastAsia="Calibri"/>
          <w:lang w:eastAsia="en-US"/>
        </w:rPr>
        <w:t xml:space="preserve"> г</w:t>
      </w:r>
    </w:p>
    <w:p w:rsidR="00B62C34" w:rsidRDefault="00B62C34">
      <w:pPr>
        <w:ind w:firstLine="709"/>
        <w:jc w:val="both"/>
        <w:rPr>
          <w:b/>
          <w:bCs/>
          <w:i/>
          <w:iCs/>
          <w:color w:val="333333"/>
        </w:rPr>
      </w:pPr>
    </w:p>
    <w:p w:rsidR="00B62C34" w:rsidRDefault="00650BFF">
      <w:pPr>
        <w:ind w:firstLine="709"/>
        <w:jc w:val="both"/>
      </w:pPr>
      <w:proofErr w:type="gramStart"/>
      <w:r>
        <w:rPr>
          <w:b/>
          <w:bCs/>
          <w:i/>
          <w:iCs/>
          <w:color w:val="333333"/>
        </w:rPr>
        <w:t>Основание для проведения:</w:t>
      </w:r>
      <w:r>
        <w:rPr>
          <w:color w:val="333333"/>
        </w:rPr>
        <w:t xml:space="preserve"> статья 264.4 Бюджетного кодекса Российской Федерации, статья 22 Положения «О бюджетном процессе в  Полтавском городском поселении», утвержденного решением Совета депутатов Полтавского городского поселения от 24.09.2013 № 23 (далее - Положение о бюджетном процессе), статья 8 Положения «О Контрольно-счетном органе муниципального образования «Полтавский муниципальный район Омской области», утвержденного решением Совета  от 31.01.2022 № 3, пункт 2.</w:t>
      </w:r>
      <w:r w:rsidR="0030546B">
        <w:rPr>
          <w:color w:val="333333"/>
        </w:rPr>
        <w:t>2</w:t>
      </w:r>
      <w:r>
        <w:rPr>
          <w:color w:val="333333"/>
        </w:rPr>
        <w:t xml:space="preserve"> плана работы Контрольно-счетной органа муниципального</w:t>
      </w:r>
      <w:proofErr w:type="gramEnd"/>
      <w:r>
        <w:rPr>
          <w:color w:val="333333"/>
        </w:rPr>
        <w:t xml:space="preserve"> образования на 202</w:t>
      </w:r>
      <w:r w:rsidR="0030546B">
        <w:rPr>
          <w:color w:val="333333"/>
        </w:rPr>
        <w:t>3</w:t>
      </w:r>
      <w:r>
        <w:rPr>
          <w:color w:val="333333"/>
        </w:rPr>
        <w:t xml:space="preserve"> год.</w:t>
      </w:r>
    </w:p>
    <w:p w:rsidR="00B62C34" w:rsidRDefault="00650BFF">
      <w:pPr>
        <w:ind w:firstLine="709"/>
        <w:jc w:val="both"/>
        <w:rPr>
          <w:color w:val="333333"/>
        </w:rPr>
      </w:pPr>
      <w:proofErr w:type="gramStart"/>
      <w:r>
        <w:rPr>
          <w:b/>
          <w:bCs/>
          <w:i/>
          <w:iCs/>
          <w:color w:val="333333"/>
        </w:rPr>
        <w:t xml:space="preserve">Цель проведения внешней проверки: </w:t>
      </w:r>
      <w:r>
        <w:rPr>
          <w:bCs/>
          <w:iCs/>
          <w:color w:val="333333"/>
        </w:rPr>
        <w:t xml:space="preserve">соответствие годового отчета об исполнении бюджета Администрации </w:t>
      </w:r>
      <w:r>
        <w:rPr>
          <w:color w:val="333333"/>
        </w:rPr>
        <w:t>Полтавского городского</w:t>
      </w:r>
      <w:r>
        <w:rPr>
          <w:bCs/>
          <w:iCs/>
          <w:color w:val="333333"/>
        </w:rPr>
        <w:t xml:space="preserve"> поселения требованиям бюджетного законодательства</w:t>
      </w:r>
      <w:r w:rsidR="0030546B">
        <w:rPr>
          <w:bCs/>
          <w:iCs/>
          <w:color w:val="333333"/>
        </w:rPr>
        <w:t xml:space="preserve">, </w:t>
      </w:r>
      <w:r>
        <w:rPr>
          <w:bCs/>
          <w:iCs/>
          <w:color w:val="333333"/>
        </w:rPr>
        <w:t>инструкции «</w:t>
      </w:r>
      <w:r>
        <w:rPr>
          <w:color w:val="333333"/>
        </w:rPr>
        <w:t xml:space="preserve">о порядке составления и представления годовой, квартальной и месячной отчетности об исполнении бюджетов бюджетной системы Российской </w:t>
      </w:r>
      <w:r w:rsidR="0030546B">
        <w:rPr>
          <w:color w:val="333333"/>
        </w:rPr>
        <w:t>Федерации» от 28.12.2010 № 191н. решению Совета от 30.11.2021 №81 «О бюджете поселения на 2022 год и плановый период 2023 и 2024 годов»</w:t>
      </w:r>
      <w:proofErr w:type="gramEnd"/>
    </w:p>
    <w:p w:rsidR="00B62C34" w:rsidRDefault="00650BFF">
      <w:pPr>
        <w:ind w:firstLine="709"/>
        <w:jc w:val="both"/>
        <w:rPr>
          <w:color w:val="333333"/>
        </w:rPr>
      </w:pPr>
      <w:r>
        <w:rPr>
          <w:b/>
          <w:bCs/>
          <w:i/>
          <w:iCs/>
          <w:color w:val="333333"/>
        </w:rPr>
        <w:t>Предмет проверки:</w:t>
      </w:r>
      <w:r>
        <w:rPr>
          <w:color w:val="333333"/>
        </w:rPr>
        <w:t xml:space="preserve"> Отчет об исполнении местного бюджета.</w:t>
      </w:r>
    </w:p>
    <w:p w:rsidR="00B62C34" w:rsidRDefault="00650BFF">
      <w:pPr>
        <w:ind w:firstLine="709"/>
        <w:jc w:val="both"/>
      </w:pPr>
      <w:r>
        <w:rPr>
          <w:b/>
          <w:bCs/>
          <w:i/>
          <w:iCs/>
          <w:color w:val="333333"/>
        </w:rPr>
        <w:t xml:space="preserve">Проверяемый период: </w:t>
      </w:r>
      <w:r>
        <w:rPr>
          <w:color w:val="333333"/>
        </w:rPr>
        <w:t>202</w:t>
      </w:r>
      <w:r w:rsidR="0030546B">
        <w:rPr>
          <w:color w:val="333333"/>
        </w:rPr>
        <w:t>2</w:t>
      </w:r>
      <w:r>
        <w:rPr>
          <w:color w:val="333333"/>
        </w:rPr>
        <w:t xml:space="preserve"> год.</w:t>
      </w:r>
    </w:p>
    <w:p w:rsidR="00B62C34" w:rsidRDefault="00650BFF">
      <w:pPr>
        <w:ind w:firstLine="709"/>
        <w:jc w:val="both"/>
      </w:pPr>
      <w:r>
        <w:rPr>
          <w:b/>
          <w:bCs/>
          <w:i/>
          <w:iCs/>
          <w:color w:val="333333"/>
        </w:rPr>
        <w:t xml:space="preserve">Объект проверки: </w:t>
      </w:r>
      <w:r>
        <w:rPr>
          <w:color w:val="333333"/>
        </w:rPr>
        <w:t>Полтавское городское поселение Полтавского муниципального района.</w:t>
      </w:r>
    </w:p>
    <w:p w:rsidR="00B62C34" w:rsidRDefault="00650BFF">
      <w:pPr>
        <w:ind w:firstLine="709"/>
        <w:jc w:val="both"/>
      </w:pPr>
      <w:r>
        <w:rPr>
          <w:b/>
          <w:bCs/>
          <w:i/>
          <w:iCs/>
          <w:color w:val="333333"/>
        </w:rPr>
        <w:t>Срок проведения проверки:</w:t>
      </w:r>
      <w:r>
        <w:rPr>
          <w:color w:val="333333"/>
        </w:rPr>
        <w:t xml:space="preserve"> с 1</w:t>
      </w:r>
      <w:r w:rsidR="0030546B">
        <w:rPr>
          <w:color w:val="333333"/>
        </w:rPr>
        <w:t>9</w:t>
      </w:r>
      <w:r>
        <w:rPr>
          <w:color w:val="333333"/>
        </w:rPr>
        <w:t>.04.202</w:t>
      </w:r>
      <w:r w:rsidR="0030546B">
        <w:rPr>
          <w:color w:val="333333"/>
        </w:rPr>
        <w:t>3</w:t>
      </w:r>
      <w:r>
        <w:rPr>
          <w:color w:val="333333"/>
        </w:rPr>
        <w:t>г. по 2</w:t>
      </w:r>
      <w:r w:rsidR="0030546B">
        <w:rPr>
          <w:color w:val="333333"/>
        </w:rPr>
        <w:t>0</w:t>
      </w:r>
      <w:r>
        <w:rPr>
          <w:color w:val="333333"/>
        </w:rPr>
        <w:t>.04.202</w:t>
      </w:r>
      <w:r w:rsidR="0030546B">
        <w:rPr>
          <w:color w:val="333333"/>
        </w:rPr>
        <w:t>3</w:t>
      </w:r>
      <w:r>
        <w:rPr>
          <w:color w:val="333333"/>
        </w:rPr>
        <w:t>г.</w:t>
      </w:r>
    </w:p>
    <w:p w:rsidR="00B62C34" w:rsidRDefault="00650BFF" w:rsidP="00BC02D3">
      <w:pPr>
        <w:ind w:firstLine="709"/>
        <w:jc w:val="both"/>
        <w:rPr>
          <w:rFonts w:eastAsia="Calibri"/>
          <w:lang w:eastAsia="en-US"/>
        </w:rPr>
      </w:pPr>
      <w:r>
        <w:rPr>
          <w:sz w:val="28"/>
          <w:szCs w:val="28"/>
        </w:rPr>
        <w:t> </w:t>
      </w:r>
    </w:p>
    <w:p w:rsidR="00B62C34" w:rsidRDefault="00650BFF">
      <w:pPr>
        <w:numPr>
          <w:ilvl w:val="0"/>
          <w:numId w:val="1"/>
        </w:numPr>
        <w:spacing w:after="200" w:line="276" w:lineRule="auto"/>
        <w:ind w:left="0" w:firstLine="0"/>
        <w:contextualSpacing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Общие положения</w:t>
      </w:r>
    </w:p>
    <w:p w:rsidR="00B62C34" w:rsidRDefault="00650BFF">
      <w:pPr>
        <w:jc w:val="both"/>
        <w:rPr>
          <w:rFonts w:eastAsia="Calibri"/>
        </w:rPr>
      </w:pPr>
      <w:r>
        <w:rPr>
          <w:color w:val="444444"/>
        </w:rPr>
        <w:t>Заключение подготовлено на основании результатов проверки годовой бюджетной отчетности за 202</w:t>
      </w:r>
      <w:r w:rsidR="0030546B">
        <w:rPr>
          <w:color w:val="444444"/>
        </w:rPr>
        <w:t>2</w:t>
      </w:r>
      <w:r>
        <w:rPr>
          <w:color w:val="444444"/>
        </w:rPr>
        <w:t xml:space="preserve"> год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бюджета, анализа основных показателей исполнения бюджета Администрации </w:t>
      </w:r>
      <w:r>
        <w:rPr>
          <w:color w:val="333333"/>
        </w:rPr>
        <w:t>Полтавского городского</w:t>
      </w:r>
      <w:r>
        <w:rPr>
          <w:color w:val="444444"/>
        </w:rPr>
        <w:t xml:space="preserve"> поселения (Заключение №1</w:t>
      </w:r>
      <w:r w:rsidR="0030546B">
        <w:rPr>
          <w:color w:val="444444"/>
        </w:rPr>
        <w:t>5</w:t>
      </w:r>
      <w:r>
        <w:rPr>
          <w:color w:val="444444"/>
        </w:rPr>
        <w:t xml:space="preserve">  от  </w:t>
      </w:r>
      <w:r w:rsidR="0030546B">
        <w:rPr>
          <w:color w:val="444444"/>
        </w:rPr>
        <w:t>19</w:t>
      </w:r>
      <w:r>
        <w:rPr>
          <w:color w:val="444444"/>
        </w:rPr>
        <w:t>.04.202</w:t>
      </w:r>
      <w:r w:rsidR="0030546B">
        <w:rPr>
          <w:color w:val="444444"/>
        </w:rPr>
        <w:t>3</w:t>
      </w:r>
      <w:r>
        <w:rPr>
          <w:color w:val="444444"/>
        </w:rPr>
        <w:t xml:space="preserve"> г).</w:t>
      </w:r>
    </w:p>
    <w:p w:rsidR="00B62C34" w:rsidRDefault="00650BFF">
      <w:pPr>
        <w:ind w:firstLine="540"/>
        <w:jc w:val="both"/>
      </w:pPr>
      <w:proofErr w:type="gramStart"/>
      <w:r>
        <w:t>Согласно статьи</w:t>
      </w:r>
      <w:proofErr w:type="gramEnd"/>
      <w:r>
        <w:t xml:space="preserve"> 264.4 БК РФ годовой отчет об исполнении бюджета до его рассмотрения в законодательном (представительном) органе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</w:p>
    <w:p w:rsidR="00B62C34" w:rsidRDefault="00650BFF">
      <w:pPr>
        <w:jc w:val="both"/>
        <w:rPr>
          <w:rFonts w:eastAsia="Calibri"/>
          <w:lang w:eastAsia="en-US"/>
        </w:rPr>
      </w:pPr>
      <w:r>
        <w:rPr>
          <w:b/>
          <w:bCs/>
        </w:rPr>
        <w:t> </w:t>
      </w:r>
      <w:r>
        <w:rPr>
          <w:rFonts w:eastAsia="Calibri"/>
          <w:lang w:eastAsia="en-US"/>
        </w:rPr>
        <w:t xml:space="preserve">Годовой отчет об исполнении бюджета </w:t>
      </w:r>
      <w:r>
        <w:rPr>
          <w:color w:val="333333"/>
        </w:rPr>
        <w:t>Полтавского городского</w:t>
      </w:r>
      <w:r>
        <w:rPr>
          <w:rFonts w:eastAsia="Calibri"/>
          <w:lang w:eastAsia="en-US"/>
        </w:rPr>
        <w:t xml:space="preserve"> поселения  за 202</w:t>
      </w:r>
      <w:r w:rsidR="0030546B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 год (далее – бюджет поселения) поступил в контрольно-счетный орган Полтавского муниципального района (далее  контрольно-счетный  орган) в срок до 01 апреля,  на бумажном  носителе, согласно п.3 ст. 264.4  Бюджетного Кодекса Российской Федерации.</w:t>
      </w:r>
    </w:p>
    <w:p w:rsidR="00B62C34" w:rsidRDefault="00650BFF">
      <w:pPr>
        <w:ind w:firstLine="709"/>
        <w:jc w:val="both"/>
      </w:pPr>
      <w:r>
        <w:t>Вместе с годовым отчетом об исполнении бюджета представлен  проект решения об исполнении бюджета с приложениями, который  в полной мере соответствует требованиям ст.264.6 БК РФ.</w:t>
      </w:r>
    </w:p>
    <w:p w:rsidR="00B62C34" w:rsidRDefault="00B62C34">
      <w:pPr>
        <w:widowControl w:val="0"/>
        <w:ind w:right="-1"/>
        <w:jc w:val="both"/>
        <w:rPr>
          <w:rFonts w:eastAsia="Calibri"/>
          <w:lang w:eastAsia="en-US"/>
        </w:rPr>
      </w:pPr>
    </w:p>
    <w:p w:rsidR="00B62C34" w:rsidRDefault="00650BFF" w:rsidP="0030546B">
      <w:pPr>
        <w:pStyle w:val="ac"/>
        <w:widowControl w:val="0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Анализ  бюджетного процесса в </w:t>
      </w:r>
      <w:r>
        <w:rPr>
          <w:rFonts w:ascii="Times New Roman" w:hAnsi="Times New Roman"/>
          <w:b/>
          <w:color w:val="333333"/>
          <w:sz w:val="24"/>
          <w:szCs w:val="24"/>
        </w:rPr>
        <w:t>Полтавском городском</w:t>
      </w:r>
      <w:r>
        <w:rPr>
          <w:rFonts w:ascii="Times New Roman" w:hAnsi="Times New Roman"/>
          <w:b/>
          <w:sz w:val="24"/>
          <w:szCs w:val="24"/>
        </w:rPr>
        <w:t xml:space="preserve"> поселении.</w:t>
      </w:r>
    </w:p>
    <w:p w:rsidR="00B62C34" w:rsidRDefault="00650BFF" w:rsidP="0030546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</w:t>
      </w:r>
      <w:r w:rsidR="0030546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году бюджетный процесс в </w:t>
      </w:r>
      <w:r>
        <w:rPr>
          <w:rFonts w:ascii="Times New Roman" w:hAnsi="Times New Roman"/>
          <w:color w:val="333333"/>
        </w:rPr>
        <w:t>Полтавском городском</w:t>
      </w:r>
      <w:r>
        <w:rPr>
          <w:rFonts w:ascii="Times New Roman" w:hAnsi="Times New Roman"/>
          <w:sz w:val="24"/>
          <w:szCs w:val="24"/>
        </w:rPr>
        <w:t xml:space="preserve"> поселении  осуществлялся в соответствии с БК РФ,  Положением о бюджетном процессе, Решением Совета депутатов </w:t>
      </w:r>
      <w:r>
        <w:rPr>
          <w:rFonts w:ascii="Times New Roman" w:hAnsi="Times New Roman"/>
          <w:color w:val="333333"/>
        </w:rPr>
        <w:t>Полтавского городского</w:t>
      </w:r>
      <w:r>
        <w:rPr>
          <w:rFonts w:ascii="Times New Roman" w:hAnsi="Times New Roman"/>
          <w:sz w:val="24"/>
          <w:szCs w:val="24"/>
        </w:rPr>
        <w:t xml:space="preserve"> поселения от 30.11.202</w:t>
      </w:r>
      <w:r w:rsidR="0030546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№ 8</w:t>
      </w:r>
      <w:r w:rsidR="0030546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 «О бюджете </w:t>
      </w:r>
      <w:r>
        <w:rPr>
          <w:rFonts w:ascii="Times New Roman" w:hAnsi="Times New Roman"/>
          <w:color w:val="333333"/>
        </w:rPr>
        <w:t>Полтавского городского</w:t>
      </w:r>
      <w:r>
        <w:rPr>
          <w:rFonts w:ascii="Times New Roman" w:hAnsi="Times New Roman"/>
          <w:sz w:val="24"/>
          <w:szCs w:val="24"/>
        </w:rPr>
        <w:t xml:space="preserve"> поселения на 202</w:t>
      </w:r>
      <w:r w:rsidR="0030546B">
        <w:rPr>
          <w:rFonts w:ascii="Times New Roman" w:hAnsi="Times New Roman"/>
          <w:sz w:val="24"/>
          <w:szCs w:val="24"/>
        </w:rPr>
        <w:t>2 год и на плановый период 2023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30546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годов»  (с учетом </w:t>
      </w:r>
      <w:r>
        <w:rPr>
          <w:rFonts w:ascii="Times New Roman" w:hAnsi="Times New Roman"/>
          <w:sz w:val="24"/>
          <w:szCs w:val="24"/>
        </w:rPr>
        <w:lastRenderedPageBreak/>
        <w:t>внесенных изменений и дополнений).</w:t>
      </w:r>
    </w:p>
    <w:p w:rsidR="00B62C34" w:rsidRDefault="00650BFF" w:rsidP="0030546B">
      <w:pPr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 основании  статьи 219.1 Бюджетного кодекса Российской Федерации  бюджетные росписи главных распорядителей бюджетных средств составляются в соответствии с бюджетными ассигнованиями, утвержденными сводной бюджетной росписью, и утвержденными  финансовым  органом лимитами бюджетных обязательств.</w:t>
      </w:r>
    </w:p>
    <w:p w:rsidR="00B62C34" w:rsidRDefault="00650BFF" w:rsidP="0030546B">
      <w:pPr>
        <w:widowControl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Показатели бюджетной росписи по расходам утверждены в сумме </w:t>
      </w:r>
      <w:r w:rsidR="0030546B">
        <w:rPr>
          <w:rFonts w:eastAsia="Calibri"/>
          <w:lang w:eastAsia="en-US"/>
        </w:rPr>
        <w:t>34 662 091,21</w:t>
      </w:r>
      <w:r>
        <w:rPr>
          <w:rFonts w:eastAsia="Calibri"/>
          <w:lang w:eastAsia="en-US"/>
        </w:rPr>
        <w:t xml:space="preserve"> рублей, что соответствует объему расходов бюджета поселения, утвержденному решением Совета депутатов от 29.12.202</w:t>
      </w:r>
      <w:r w:rsidR="0030546B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 № 7</w:t>
      </w:r>
      <w:r w:rsidR="0030546B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>.</w:t>
      </w:r>
    </w:p>
    <w:p w:rsidR="00B62C34" w:rsidRDefault="00B62C34">
      <w:pPr>
        <w:pStyle w:val="ac"/>
        <w:widowControl w:val="0"/>
        <w:ind w:right="-1"/>
        <w:jc w:val="both"/>
        <w:rPr>
          <w:rFonts w:ascii="Times New Roman" w:hAnsi="Times New Roman"/>
          <w:sz w:val="24"/>
          <w:szCs w:val="24"/>
        </w:rPr>
      </w:pPr>
    </w:p>
    <w:p w:rsidR="00B62C34" w:rsidRDefault="00650BFF">
      <w:pPr>
        <w:pStyle w:val="ac"/>
        <w:widowControl w:val="0"/>
        <w:numPr>
          <w:ilvl w:val="0"/>
          <w:numId w:val="3"/>
        </w:numPr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Анализ исполнения основных характеристик бюджета  </w:t>
      </w:r>
      <w:r>
        <w:rPr>
          <w:rFonts w:ascii="Times New Roman" w:hAnsi="Times New Roman"/>
          <w:b/>
          <w:color w:val="333333"/>
          <w:sz w:val="24"/>
          <w:szCs w:val="24"/>
        </w:rPr>
        <w:t>Полтавского городского</w:t>
      </w:r>
      <w:r>
        <w:rPr>
          <w:rFonts w:ascii="Times New Roman" w:hAnsi="Times New Roman"/>
          <w:b/>
          <w:sz w:val="24"/>
          <w:szCs w:val="24"/>
        </w:rPr>
        <w:t xml:space="preserve"> поселения  в 202</w:t>
      </w:r>
      <w:r w:rsidR="0030546B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году.</w:t>
      </w:r>
    </w:p>
    <w:p w:rsidR="00B62C34" w:rsidRDefault="00650BFF" w:rsidP="0030546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Совета депутатов </w:t>
      </w:r>
      <w:r>
        <w:rPr>
          <w:rFonts w:ascii="Times New Roman" w:hAnsi="Times New Roman"/>
          <w:color w:val="333333"/>
          <w:sz w:val="24"/>
          <w:szCs w:val="24"/>
        </w:rPr>
        <w:t>Полтавского городского</w:t>
      </w:r>
      <w:r>
        <w:rPr>
          <w:rFonts w:ascii="Times New Roman" w:hAnsi="Times New Roman"/>
          <w:sz w:val="24"/>
          <w:szCs w:val="24"/>
        </w:rPr>
        <w:t xml:space="preserve"> поселения  от 30.11.202</w:t>
      </w:r>
      <w:r w:rsidR="0030546B">
        <w:rPr>
          <w:rFonts w:ascii="Times New Roman" w:hAnsi="Times New Roman"/>
          <w:sz w:val="24"/>
          <w:szCs w:val="24"/>
        </w:rPr>
        <w:t xml:space="preserve">1 № </w:t>
      </w:r>
      <w:r>
        <w:rPr>
          <w:rFonts w:ascii="Times New Roman" w:hAnsi="Times New Roman"/>
          <w:sz w:val="24"/>
          <w:szCs w:val="24"/>
        </w:rPr>
        <w:t>8</w:t>
      </w:r>
      <w:r w:rsidR="0030546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«О бюджете </w:t>
      </w:r>
      <w:r>
        <w:rPr>
          <w:rFonts w:ascii="Times New Roman" w:hAnsi="Times New Roman"/>
          <w:color w:val="333333"/>
          <w:sz w:val="24"/>
          <w:szCs w:val="24"/>
        </w:rPr>
        <w:t>Полтавского городского</w:t>
      </w:r>
      <w:r>
        <w:rPr>
          <w:rFonts w:ascii="Times New Roman" w:hAnsi="Times New Roman"/>
          <w:sz w:val="24"/>
          <w:szCs w:val="24"/>
        </w:rPr>
        <w:t xml:space="preserve"> поселения на 202</w:t>
      </w:r>
      <w:r w:rsidR="0030546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30546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30546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годов» утверждены основные характеристики бюджета на 202</w:t>
      </w:r>
      <w:r w:rsidR="0030546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62C34" w:rsidRDefault="00650BFF" w:rsidP="0030546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-Прогнозный  общий объем доходов поселения в сумме </w:t>
      </w:r>
      <w:r w:rsidR="0030546B">
        <w:rPr>
          <w:rFonts w:ascii="Times New Roman" w:hAnsi="Times New Roman"/>
          <w:sz w:val="24"/>
          <w:szCs w:val="24"/>
        </w:rPr>
        <w:t>28 186 211,73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B62C34" w:rsidRDefault="00650BFF" w:rsidP="0030546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-Общий объем расходов  бюджета поселения в сумме  </w:t>
      </w:r>
      <w:r w:rsidR="0030546B">
        <w:rPr>
          <w:rFonts w:ascii="Times New Roman" w:hAnsi="Times New Roman"/>
          <w:sz w:val="24"/>
          <w:szCs w:val="24"/>
        </w:rPr>
        <w:t>28 186 211,73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B62C34" w:rsidRDefault="00650BFF" w:rsidP="0030546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исполнения бюджета поселения параметры бюджета поселения изменены в сторону увеличения по доходам на сумму  </w:t>
      </w:r>
      <w:r w:rsidR="0030546B">
        <w:rPr>
          <w:rFonts w:ascii="Times New Roman" w:hAnsi="Times New Roman"/>
          <w:sz w:val="24"/>
          <w:szCs w:val="24"/>
        </w:rPr>
        <w:t>5 810 882,44</w:t>
      </w:r>
      <w:r>
        <w:rPr>
          <w:rFonts w:ascii="Times New Roman" w:hAnsi="Times New Roman"/>
          <w:sz w:val="24"/>
          <w:szCs w:val="24"/>
        </w:rPr>
        <w:t xml:space="preserve"> рублей, в сторону увеличения по расходам на </w:t>
      </w:r>
      <w:r w:rsidR="0030546B">
        <w:rPr>
          <w:rFonts w:ascii="Times New Roman" w:hAnsi="Times New Roman"/>
          <w:sz w:val="24"/>
          <w:szCs w:val="24"/>
        </w:rPr>
        <w:t>6 475 879,48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B62C34" w:rsidRDefault="00650BFF" w:rsidP="0030546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окончательной редакции с учетом изменений и дополнений, внесенных решениями Совета депутатов </w:t>
      </w:r>
      <w:r>
        <w:rPr>
          <w:rFonts w:ascii="Times New Roman" w:hAnsi="Times New Roman"/>
          <w:color w:val="333333"/>
          <w:sz w:val="24"/>
          <w:szCs w:val="24"/>
        </w:rPr>
        <w:t>Полтавского городского</w:t>
      </w:r>
      <w:r>
        <w:rPr>
          <w:rFonts w:ascii="Times New Roman" w:hAnsi="Times New Roman"/>
          <w:sz w:val="24"/>
          <w:szCs w:val="24"/>
        </w:rPr>
        <w:t xml:space="preserve"> поселения   от 29.12.202</w:t>
      </w:r>
      <w:r w:rsidR="0030546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№7</w:t>
      </w:r>
      <w:r w:rsidR="0030546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« О внесении изменений и дополнений в решение Совета от 30.11.202</w:t>
      </w:r>
      <w:r w:rsidR="0030546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№ 8</w:t>
      </w:r>
      <w:r w:rsidR="0030546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» утверждены:</w:t>
      </w:r>
    </w:p>
    <w:p w:rsidR="00B62C34" w:rsidRDefault="00650BFF" w:rsidP="0030546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-Прогнозируемый   общий объем доходов бюджета  поселения в сумме </w:t>
      </w:r>
      <w:r w:rsidR="0030546B">
        <w:rPr>
          <w:rFonts w:ascii="Times New Roman" w:hAnsi="Times New Roman"/>
          <w:sz w:val="24"/>
          <w:szCs w:val="24"/>
        </w:rPr>
        <w:t>33 997 094,17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B62C34" w:rsidRDefault="00650BFF" w:rsidP="0030546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-Общий объем расходов  бюджета поселения в сумме  </w:t>
      </w:r>
      <w:r w:rsidR="0030546B">
        <w:rPr>
          <w:rFonts w:ascii="Times New Roman" w:hAnsi="Times New Roman"/>
          <w:sz w:val="24"/>
          <w:szCs w:val="24"/>
        </w:rPr>
        <w:t>34 662 091,21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B62C34" w:rsidRDefault="00650BFF" w:rsidP="0030546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-Прогнозируемый дефицит бюджета поселения </w:t>
      </w:r>
      <w:r w:rsidR="0030546B">
        <w:rPr>
          <w:rFonts w:ascii="Times New Roman" w:hAnsi="Times New Roman"/>
          <w:sz w:val="24"/>
          <w:szCs w:val="24"/>
        </w:rPr>
        <w:t>664 997,04</w:t>
      </w:r>
      <w:r>
        <w:rPr>
          <w:rFonts w:ascii="Times New Roman" w:hAnsi="Times New Roman"/>
          <w:sz w:val="24"/>
          <w:szCs w:val="24"/>
        </w:rPr>
        <w:t xml:space="preserve"> рублей. </w:t>
      </w:r>
    </w:p>
    <w:p w:rsidR="00B62C34" w:rsidRDefault="00650BFF" w:rsidP="0030546B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характеристики бюджета поселения на 202</w:t>
      </w:r>
      <w:r w:rsidR="0030546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год.</w:t>
      </w:r>
    </w:p>
    <w:p w:rsidR="00B62C34" w:rsidRDefault="00650BFF" w:rsidP="00BC02D3">
      <w:pPr>
        <w:pStyle w:val="ac"/>
        <w:widowControl w:val="0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tbl>
      <w:tblPr>
        <w:tblStyle w:val="af0"/>
        <w:tblW w:w="9570" w:type="dxa"/>
        <w:tblLook w:val="04A0"/>
      </w:tblPr>
      <w:tblGrid>
        <w:gridCol w:w="2396"/>
        <w:gridCol w:w="2390"/>
        <w:gridCol w:w="2395"/>
        <w:gridCol w:w="2389"/>
      </w:tblGrid>
      <w:tr w:rsidR="00B62C34" w:rsidTr="00B15262">
        <w:tc>
          <w:tcPr>
            <w:tcW w:w="2396" w:type="dxa"/>
          </w:tcPr>
          <w:p w:rsidR="00B62C34" w:rsidRDefault="00650BFF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 xml:space="preserve">Наименование показателя </w:t>
            </w:r>
          </w:p>
        </w:tc>
        <w:tc>
          <w:tcPr>
            <w:tcW w:w="2390" w:type="dxa"/>
          </w:tcPr>
          <w:p w:rsidR="00B62C34" w:rsidRDefault="00650BFF" w:rsidP="0030546B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Утверждено Решением о бюджете на 202</w:t>
            </w:r>
            <w:r w:rsidR="0030546B">
              <w:rPr>
                <w:color w:val="444444"/>
                <w:vertAlign w:val="superscript"/>
              </w:rPr>
              <w:t>2</w:t>
            </w:r>
            <w:r>
              <w:rPr>
                <w:color w:val="444444"/>
                <w:vertAlign w:val="superscript"/>
              </w:rPr>
              <w:t xml:space="preserve"> год (в редакции от 29.12.202</w:t>
            </w:r>
            <w:r w:rsidR="0030546B">
              <w:rPr>
                <w:color w:val="444444"/>
                <w:vertAlign w:val="superscript"/>
              </w:rPr>
              <w:t>2 №</w:t>
            </w:r>
            <w:r>
              <w:rPr>
                <w:color w:val="444444"/>
                <w:vertAlign w:val="superscript"/>
              </w:rPr>
              <w:t>7</w:t>
            </w:r>
            <w:r w:rsidR="0030546B">
              <w:rPr>
                <w:color w:val="444444"/>
                <w:vertAlign w:val="superscript"/>
              </w:rPr>
              <w:t>3</w:t>
            </w:r>
            <w:r>
              <w:rPr>
                <w:color w:val="444444"/>
                <w:vertAlign w:val="superscript"/>
              </w:rPr>
              <w:t>), рублей</w:t>
            </w:r>
          </w:p>
        </w:tc>
        <w:tc>
          <w:tcPr>
            <w:tcW w:w="2395" w:type="dxa"/>
          </w:tcPr>
          <w:p w:rsidR="00B62C34" w:rsidRDefault="00650BFF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 xml:space="preserve">Исполнено, </w:t>
            </w:r>
          </w:p>
          <w:p w:rsidR="00B62C34" w:rsidRDefault="00650BFF" w:rsidP="00CF480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Проект решения об исполнении бюджета за 202</w:t>
            </w:r>
            <w:r w:rsidR="00CF4800">
              <w:rPr>
                <w:color w:val="444444"/>
                <w:vertAlign w:val="superscript"/>
              </w:rPr>
              <w:t>2</w:t>
            </w:r>
            <w:r>
              <w:rPr>
                <w:color w:val="444444"/>
                <w:vertAlign w:val="superscript"/>
              </w:rPr>
              <w:t xml:space="preserve"> год </w:t>
            </w:r>
          </w:p>
        </w:tc>
        <w:tc>
          <w:tcPr>
            <w:tcW w:w="2389" w:type="dxa"/>
          </w:tcPr>
          <w:p w:rsidR="00B62C34" w:rsidRDefault="00650BFF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Процент исполнения, %</w:t>
            </w:r>
          </w:p>
        </w:tc>
      </w:tr>
      <w:tr w:rsidR="00B62C34" w:rsidTr="00B15262">
        <w:tc>
          <w:tcPr>
            <w:tcW w:w="2396" w:type="dxa"/>
          </w:tcPr>
          <w:p w:rsidR="00B62C34" w:rsidRDefault="00650BFF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 xml:space="preserve">Общий объем дохода, в том числе </w:t>
            </w:r>
          </w:p>
        </w:tc>
        <w:tc>
          <w:tcPr>
            <w:tcW w:w="2390" w:type="dxa"/>
          </w:tcPr>
          <w:p w:rsidR="00B62C34" w:rsidRDefault="00CF480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33 997 094,17</w:t>
            </w:r>
          </w:p>
        </w:tc>
        <w:tc>
          <w:tcPr>
            <w:tcW w:w="2395" w:type="dxa"/>
          </w:tcPr>
          <w:p w:rsidR="00B62C34" w:rsidRDefault="00CF480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33 639 773,27</w:t>
            </w:r>
          </w:p>
        </w:tc>
        <w:tc>
          <w:tcPr>
            <w:tcW w:w="2389" w:type="dxa"/>
          </w:tcPr>
          <w:p w:rsidR="00B62C34" w:rsidRDefault="00CF480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98,94</w:t>
            </w:r>
          </w:p>
        </w:tc>
      </w:tr>
      <w:tr w:rsidR="00B62C34" w:rsidTr="00B15262">
        <w:tc>
          <w:tcPr>
            <w:tcW w:w="2396" w:type="dxa"/>
          </w:tcPr>
          <w:p w:rsidR="00B62C34" w:rsidRDefault="00650BFF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Расходы</w:t>
            </w:r>
          </w:p>
        </w:tc>
        <w:tc>
          <w:tcPr>
            <w:tcW w:w="2390" w:type="dxa"/>
          </w:tcPr>
          <w:p w:rsidR="00B62C34" w:rsidRDefault="00CF480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34 662 091,21</w:t>
            </w:r>
          </w:p>
        </w:tc>
        <w:tc>
          <w:tcPr>
            <w:tcW w:w="2395" w:type="dxa"/>
          </w:tcPr>
          <w:p w:rsidR="00B62C34" w:rsidRDefault="00CF480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32 862 713,66</w:t>
            </w:r>
          </w:p>
        </w:tc>
        <w:tc>
          <w:tcPr>
            <w:tcW w:w="2389" w:type="dxa"/>
          </w:tcPr>
          <w:p w:rsidR="00B62C34" w:rsidRDefault="00650BFF" w:rsidP="00CF480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94,</w:t>
            </w:r>
            <w:r w:rsidR="00CF4800">
              <w:rPr>
                <w:color w:val="444444"/>
                <w:vertAlign w:val="superscript"/>
              </w:rPr>
              <w:t>81</w:t>
            </w:r>
          </w:p>
        </w:tc>
      </w:tr>
      <w:tr w:rsidR="00B62C34" w:rsidTr="00B15262">
        <w:tc>
          <w:tcPr>
            <w:tcW w:w="2396" w:type="dxa"/>
          </w:tcPr>
          <w:p w:rsidR="00B62C34" w:rsidRDefault="00650BFF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Дефицит</w:t>
            </w:r>
            <w:proofErr w:type="gramStart"/>
            <w:r>
              <w:rPr>
                <w:color w:val="444444"/>
                <w:vertAlign w:val="superscript"/>
              </w:rPr>
              <w:t xml:space="preserve"> (-)/ </w:t>
            </w:r>
            <w:proofErr w:type="spellStart"/>
            <w:proofErr w:type="gramEnd"/>
            <w:r>
              <w:rPr>
                <w:color w:val="444444"/>
                <w:vertAlign w:val="superscript"/>
              </w:rPr>
              <w:t>профицит</w:t>
            </w:r>
            <w:proofErr w:type="spellEnd"/>
            <w:r>
              <w:rPr>
                <w:color w:val="444444"/>
                <w:vertAlign w:val="superscript"/>
              </w:rPr>
              <w:t xml:space="preserve"> (+)</w:t>
            </w:r>
          </w:p>
        </w:tc>
        <w:tc>
          <w:tcPr>
            <w:tcW w:w="2390" w:type="dxa"/>
          </w:tcPr>
          <w:p w:rsidR="00B62C34" w:rsidRDefault="00CF480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-664 997,04</w:t>
            </w:r>
          </w:p>
        </w:tc>
        <w:tc>
          <w:tcPr>
            <w:tcW w:w="2395" w:type="dxa"/>
          </w:tcPr>
          <w:p w:rsidR="00B62C34" w:rsidRDefault="00CF4800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777 059,61</w:t>
            </w:r>
          </w:p>
        </w:tc>
        <w:tc>
          <w:tcPr>
            <w:tcW w:w="2389" w:type="dxa"/>
          </w:tcPr>
          <w:p w:rsidR="00B62C34" w:rsidRDefault="00650BFF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proofErr w:type="spellStart"/>
            <w:r>
              <w:rPr>
                <w:color w:val="444444"/>
                <w:vertAlign w:val="superscript"/>
              </w:rPr>
              <w:t>х</w:t>
            </w:r>
            <w:proofErr w:type="spellEnd"/>
          </w:p>
        </w:tc>
      </w:tr>
    </w:tbl>
    <w:p w:rsidR="00B62C34" w:rsidRDefault="00B15262" w:rsidP="00823DF9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Фактическое исполнение бюджета поселения по данным ф.0503117, Проекта решения об исполнении бюджета за 2022 год по доходам составило 33 639 773,27 рублей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98,94% уточненного плана) неисполнение составило 357 320,90 рублей, по расходам 32 862 713,66 (94,81% от уточненного плана) отклонение от планового задания составило 1 799 377,55 рублей.</w:t>
      </w:r>
    </w:p>
    <w:p w:rsidR="00823DF9" w:rsidRDefault="00823DF9" w:rsidP="00823DF9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62C34" w:rsidRDefault="00650BFF">
      <w:pPr>
        <w:pStyle w:val="ac"/>
        <w:widowControl w:val="0"/>
        <w:numPr>
          <w:ilvl w:val="0"/>
          <w:numId w:val="3"/>
        </w:numPr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Исполнение доходной  части бюджета поселения за 202</w:t>
      </w:r>
      <w:r w:rsidR="00B15262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год.</w:t>
      </w:r>
    </w:p>
    <w:p w:rsidR="00B62C34" w:rsidRDefault="00650BFF" w:rsidP="00B15262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Доходная часть бюджета поселения </w:t>
      </w:r>
      <w:r w:rsidR="00B15262">
        <w:rPr>
          <w:rFonts w:ascii="Times New Roman" w:hAnsi="Times New Roman"/>
          <w:sz w:val="24"/>
          <w:szCs w:val="24"/>
        </w:rPr>
        <w:t>состоит из поступлений налоговых и неналоговых доходов и безвозмездных поступлений.</w:t>
      </w:r>
    </w:p>
    <w:p w:rsidR="00B62C34" w:rsidRDefault="00650BFF" w:rsidP="00B15262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Исполнение и структура доходной части бюджета за 202</w:t>
      </w:r>
      <w:r w:rsidR="002D2D7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 по основным источникам поступлений представлена в таблице:</w:t>
      </w:r>
    </w:p>
    <w:p w:rsidR="00B62C34" w:rsidRDefault="00650BFF">
      <w:pPr>
        <w:pStyle w:val="ac"/>
        <w:widowControl w:val="0"/>
        <w:ind w:left="927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B1526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Style w:val="af0"/>
        <w:tblW w:w="9604" w:type="dxa"/>
        <w:tblInd w:w="-34" w:type="dxa"/>
        <w:tblLook w:val="04A0"/>
      </w:tblPr>
      <w:tblGrid>
        <w:gridCol w:w="3513"/>
        <w:gridCol w:w="1562"/>
        <w:gridCol w:w="1570"/>
        <w:gridCol w:w="1428"/>
        <w:gridCol w:w="1531"/>
      </w:tblGrid>
      <w:tr w:rsidR="00B62C34">
        <w:tc>
          <w:tcPr>
            <w:tcW w:w="3513" w:type="dxa"/>
          </w:tcPr>
          <w:p w:rsidR="00B62C34" w:rsidRDefault="00650BFF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lastRenderedPageBreak/>
              <w:t xml:space="preserve">Наименование показателя </w:t>
            </w:r>
          </w:p>
        </w:tc>
        <w:tc>
          <w:tcPr>
            <w:tcW w:w="1562" w:type="dxa"/>
          </w:tcPr>
          <w:p w:rsidR="00B62C34" w:rsidRDefault="00650BFF" w:rsidP="002D2D7C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Утверждено Решением о бюджете на 202</w:t>
            </w:r>
            <w:r w:rsidR="002D2D7C">
              <w:rPr>
                <w:color w:val="444444"/>
                <w:vertAlign w:val="superscript"/>
              </w:rPr>
              <w:t>2</w:t>
            </w:r>
            <w:r>
              <w:rPr>
                <w:color w:val="444444"/>
                <w:vertAlign w:val="superscript"/>
              </w:rPr>
              <w:t xml:space="preserve"> год (в редакции от 29.12.202</w:t>
            </w:r>
            <w:r w:rsidR="002D2D7C">
              <w:rPr>
                <w:color w:val="444444"/>
                <w:vertAlign w:val="superscript"/>
              </w:rPr>
              <w:t>2</w:t>
            </w:r>
            <w:r>
              <w:rPr>
                <w:color w:val="444444"/>
                <w:vertAlign w:val="superscript"/>
              </w:rPr>
              <w:t xml:space="preserve"> №</w:t>
            </w:r>
            <w:r w:rsidR="002D2D7C">
              <w:rPr>
                <w:color w:val="444444"/>
                <w:vertAlign w:val="superscript"/>
              </w:rPr>
              <w:t>73</w:t>
            </w:r>
            <w:r>
              <w:rPr>
                <w:color w:val="444444"/>
                <w:vertAlign w:val="superscript"/>
              </w:rPr>
              <w:t>), рублей</w:t>
            </w:r>
          </w:p>
        </w:tc>
        <w:tc>
          <w:tcPr>
            <w:tcW w:w="1570" w:type="dxa"/>
          </w:tcPr>
          <w:p w:rsidR="00B62C34" w:rsidRDefault="00650BFF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 xml:space="preserve">Исполнено, </w:t>
            </w:r>
          </w:p>
          <w:p w:rsidR="00B62C34" w:rsidRDefault="00650BFF" w:rsidP="002D2D7C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Проект решения об исполнении бюджета за 202</w:t>
            </w:r>
            <w:r w:rsidR="002D2D7C">
              <w:rPr>
                <w:color w:val="444444"/>
                <w:vertAlign w:val="superscript"/>
              </w:rPr>
              <w:t>2</w:t>
            </w:r>
            <w:r>
              <w:rPr>
                <w:color w:val="444444"/>
                <w:vertAlign w:val="superscript"/>
              </w:rPr>
              <w:t xml:space="preserve"> год </w:t>
            </w:r>
          </w:p>
        </w:tc>
        <w:tc>
          <w:tcPr>
            <w:tcW w:w="1428" w:type="dxa"/>
          </w:tcPr>
          <w:p w:rsidR="00B62C34" w:rsidRDefault="00650BFF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Удельный вес, в общем объеме доходов, %</w:t>
            </w:r>
          </w:p>
        </w:tc>
        <w:tc>
          <w:tcPr>
            <w:tcW w:w="1531" w:type="dxa"/>
          </w:tcPr>
          <w:p w:rsidR="00B62C34" w:rsidRDefault="00650BFF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Процент исполнения, %</w:t>
            </w:r>
          </w:p>
        </w:tc>
      </w:tr>
      <w:tr w:rsidR="00B62C34">
        <w:tc>
          <w:tcPr>
            <w:tcW w:w="3513" w:type="dxa"/>
          </w:tcPr>
          <w:p w:rsidR="00B62C34" w:rsidRDefault="00650BFF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  <w:t>Налоговые и неналоговые доходы всего, в том числе:</w:t>
            </w:r>
          </w:p>
        </w:tc>
        <w:tc>
          <w:tcPr>
            <w:tcW w:w="1562" w:type="dxa"/>
          </w:tcPr>
          <w:p w:rsidR="00B62C34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22 077 552,43</w:t>
            </w:r>
          </w:p>
        </w:tc>
        <w:tc>
          <w:tcPr>
            <w:tcW w:w="1570" w:type="dxa"/>
          </w:tcPr>
          <w:p w:rsidR="00B62C34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23 171 781,39</w:t>
            </w:r>
          </w:p>
        </w:tc>
        <w:tc>
          <w:tcPr>
            <w:tcW w:w="1428" w:type="dxa"/>
          </w:tcPr>
          <w:p w:rsidR="00B62C34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68,88</w:t>
            </w:r>
          </w:p>
        </w:tc>
        <w:tc>
          <w:tcPr>
            <w:tcW w:w="1531" w:type="dxa"/>
          </w:tcPr>
          <w:p w:rsidR="00B62C34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104,96</w:t>
            </w:r>
          </w:p>
        </w:tc>
      </w:tr>
      <w:tr w:rsidR="00B62C34">
        <w:tc>
          <w:tcPr>
            <w:tcW w:w="3513" w:type="dxa"/>
          </w:tcPr>
          <w:p w:rsidR="00B62C34" w:rsidRDefault="00650BFF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Налоговые доходы всего, из них:</w:t>
            </w:r>
          </w:p>
        </w:tc>
        <w:tc>
          <w:tcPr>
            <w:tcW w:w="1562" w:type="dxa"/>
          </w:tcPr>
          <w:p w:rsidR="00B62C34" w:rsidRDefault="0025141D">
            <w:pPr>
              <w:spacing w:line="360" w:lineRule="atLeast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18 939 760,88</w:t>
            </w:r>
          </w:p>
        </w:tc>
        <w:tc>
          <w:tcPr>
            <w:tcW w:w="1570" w:type="dxa"/>
          </w:tcPr>
          <w:p w:rsidR="00B62C34" w:rsidRDefault="0025141D" w:rsidP="004E14D2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20 326 09</w:t>
            </w:r>
            <w:r w:rsidR="004E14D2">
              <w:rPr>
                <w:b/>
                <w:color w:val="444444"/>
                <w:vertAlign w:val="superscript"/>
              </w:rPr>
              <w:t>5</w:t>
            </w:r>
            <w:r>
              <w:rPr>
                <w:b/>
                <w:color w:val="444444"/>
                <w:vertAlign w:val="superscript"/>
              </w:rPr>
              <w:t>,</w:t>
            </w:r>
            <w:r w:rsidR="004E14D2">
              <w:rPr>
                <w:b/>
                <w:color w:val="444444"/>
                <w:vertAlign w:val="superscript"/>
              </w:rPr>
              <w:t>9</w:t>
            </w:r>
            <w:r>
              <w:rPr>
                <w:b/>
                <w:color w:val="444444"/>
                <w:vertAlign w:val="superscript"/>
              </w:rPr>
              <w:t>8</w:t>
            </w:r>
          </w:p>
        </w:tc>
        <w:tc>
          <w:tcPr>
            <w:tcW w:w="1428" w:type="dxa"/>
          </w:tcPr>
          <w:p w:rsidR="00B62C34" w:rsidRDefault="004E14D2">
            <w:pPr>
              <w:spacing w:line="360" w:lineRule="atLeast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60,42</w:t>
            </w:r>
          </w:p>
        </w:tc>
        <w:tc>
          <w:tcPr>
            <w:tcW w:w="1531" w:type="dxa"/>
          </w:tcPr>
          <w:p w:rsidR="00B62C34" w:rsidRDefault="004E14D2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107,32</w:t>
            </w:r>
          </w:p>
        </w:tc>
      </w:tr>
      <w:tr w:rsidR="002D2D7C">
        <w:trPr>
          <w:trHeight w:val="346"/>
        </w:trPr>
        <w:tc>
          <w:tcPr>
            <w:tcW w:w="3513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Налог на доходы физических лиц </w:t>
            </w:r>
          </w:p>
        </w:tc>
        <w:tc>
          <w:tcPr>
            <w:tcW w:w="1562" w:type="dxa"/>
          </w:tcPr>
          <w:p w:rsidR="002D2D7C" w:rsidRDefault="002D2D7C" w:rsidP="00510A0D">
            <w:pPr>
              <w:spacing w:line="360" w:lineRule="atLeast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12 348 005,75</w:t>
            </w:r>
          </w:p>
        </w:tc>
        <w:tc>
          <w:tcPr>
            <w:tcW w:w="1570" w:type="dxa"/>
          </w:tcPr>
          <w:p w:rsidR="002D2D7C" w:rsidRDefault="002D2D7C" w:rsidP="00510A0D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13 448 514,79</w:t>
            </w:r>
          </w:p>
        </w:tc>
        <w:tc>
          <w:tcPr>
            <w:tcW w:w="1428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39,97</w:t>
            </w:r>
          </w:p>
        </w:tc>
        <w:tc>
          <w:tcPr>
            <w:tcW w:w="1531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108,91</w:t>
            </w:r>
          </w:p>
        </w:tc>
      </w:tr>
      <w:tr w:rsidR="002D2D7C">
        <w:tc>
          <w:tcPr>
            <w:tcW w:w="3513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Налоги на товары (работы, услуги) реализуемые на территории РФ</w:t>
            </w:r>
          </w:p>
        </w:tc>
        <w:tc>
          <w:tcPr>
            <w:tcW w:w="1562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3 261 810,39</w:t>
            </w:r>
          </w:p>
        </w:tc>
        <w:tc>
          <w:tcPr>
            <w:tcW w:w="1570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3 536 333,46</w:t>
            </w:r>
          </w:p>
        </w:tc>
        <w:tc>
          <w:tcPr>
            <w:tcW w:w="1428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10,51</w:t>
            </w:r>
          </w:p>
        </w:tc>
        <w:tc>
          <w:tcPr>
            <w:tcW w:w="1531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108,42</w:t>
            </w:r>
          </w:p>
        </w:tc>
      </w:tr>
      <w:tr w:rsidR="002D2D7C">
        <w:tc>
          <w:tcPr>
            <w:tcW w:w="3513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Единый сельскохозяйственный налог</w:t>
            </w:r>
          </w:p>
        </w:tc>
        <w:tc>
          <w:tcPr>
            <w:tcW w:w="1562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1 445 012,63</w:t>
            </w:r>
          </w:p>
        </w:tc>
        <w:tc>
          <w:tcPr>
            <w:tcW w:w="1570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1 445 012,63</w:t>
            </w:r>
          </w:p>
        </w:tc>
        <w:tc>
          <w:tcPr>
            <w:tcW w:w="1428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4,30</w:t>
            </w:r>
          </w:p>
        </w:tc>
        <w:tc>
          <w:tcPr>
            <w:tcW w:w="1531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100,00</w:t>
            </w:r>
          </w:p>
        </w:tc>
      </w:tr>
      <w:tr w:rsidR="002D2D7C">
        <w:tc>
          <w:tcPr>
            <w:tcW w:w="3513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Налог на имущество физических лиц</w:t>
            </w:r>
          </w:p>
        </w:tc>
        <w:tc>
          <w:tcPr>
            <w:tcW w:w="1562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1 048 631,37</w:t>
            </w:r>
          </w:p>
        </w:tc>
        <w:tc>
          <w:tcPr>
            <w:tcW w:w="1570" w:type="dxa"/>
          </w:tcPr>
          <w:p w:rsidR="002D2D7C" w:rsidRDefault="002D2D7C" w:rsidP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1 055 903,</w:t>
            </w:r>
            <w:r w:rsidR="004E14D2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428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3,14</w:t>
            </w:r>
          </w:p>
        </w:tc>
        <w:tc>
          <w:tcPr>
            <w:tcW w:w="1531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100,69</w:t>
            </w:r>
          </w:p>
        </w:tc>
      </w:tr>
      <w:tr w:rsidR="002D2D7C">
        <w:tc>
          <w:tcPr>
            <w:tcW w:w="3513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Земельный налог</w:t>
            </w:r>
          </w:p>
        </w:tc>
        <w:tc>
          <w:tcPr>
            <w:tcW w:w="1562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836 300,74</w:t>
            </w:r>
          </w:p>
        </w:tc>
        <w:tc>
          <w:tcPr>
            <w:tcW w:w="1570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840 331,73</w:t>
            </w:r>
          </w:p>
        </w:tc>
        <w:tc>
          <w:tcPr>
            <w:tcW w:w="1428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2,50</w:t>
            </w:r>
          </w:p>
        </w:tc>
        <w:tc>
          <w:tcPr>
            <w:tcW w:w="1531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100,48</w:t>
            </w:r>
          </w:p>
        </w:tc>
      </w:tr>
      <w:tr w:rsidR="002D2D7C">
        <w:tc>
          <w:tcPr>
            <w:tcW w:w="3513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Неналоговые доходы всего, из них:</w:t>
            </w:r>
          </w:p>
        </w:tc>
        <w:tc>
          <w:tcPr>
            <w:tcW w:w="1562" w:type="dxa"/>
          </w:tcPr>
          <w:p w:rsidR="002D2D7C" w:rsidRDefault="0025141D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3 137 791,55</w:t>
            </w:r>
          </w:p>
        </w:tc>
        <w:tc>
          <w:tcPr>
            <w:tcW w:w="1570" w:type="dxa"/>
          </w:tcPr>
          <w:p w:rsidR="002D2D7C" w:rsidRDefault="0025141D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2 845 685,41</w:t>
            </w:r>
          </w:p>
        </w:tc>
        <w:tc>
          <w:tcPr>
            <w:tcW w:w="1428" w:type="dxa"/>
          </w:tcPr>
          <w:p w:rsidR="002D2D7C" w:rsidRDefault="004E14D2">
            <w:pPr>
              <w:pStyle w:val="ac"/>
              <w:widowControl w:val="0"/>
              <w:ind w:left="0" w:right="-1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8,46</w:t>
            </w:r>
          </w:p>
        </w:tc>
        <w:tc>
          <w:tcPr>
            <w:tcW w:w="1531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90,69</w:t>
            </w:r>
          </w:p>
        </w:tc>
      </w:tr>
      <w:tr w:rsidR="002D2D7C">
        <w:tc>
          <w:tcPr>
            <w:tcW w:w="3513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562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2 459 402,10</w:t>
            </w:r>
          </w:p>
        </w:tc>
        <w:tc>
          <w:tcPr>
            <w:tcW w:w="1570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2 167 295,96</w:t>
            </w:r>
          </w:p>
        </w:tc>
        <w:tc>
          <w:tcPr>
            <w:tcW w:w="1428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6,45</w:t>
            </w:r>
          </w:p>
        </w:tc>
        <w:tc>
          <w:tcPr>
            <w:tcW w:w="1531" w:type="dxa"/>
          </w:tcPr>
          <w:p w:rsidR="002D2D7C" w:rsidRDefault="004E14D2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88,13</w:t>
            </w:r>
          </w:p>
        </w:tc>
      </w:tr>
      <w:tr w:rsidR="002D2D7C">
        <w:trPr>
          <w:trHeight w:val="414"/>
        </w:trPr>
        <w:tc>
          <w:tcPr>
            <w:tcW w:w="3513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Доходы от продажи материальных и нематериальных активов</w:t>
            </w:r>
          </w:p>
        </w:tc>
        <w:tc>
          <w:tcPr>
            <w:tcW w:w="1562" w:type="dxa"/>
          </w:tcPr>
          <w:p w:rsidR="002D2D7C" w:rsidRDefault="002D2D7C" w:rsidP="00510A0D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286 932,74</w:t>
            </w:r>
          </w:p>
        </w:tc>
        <w:tc>
          <w:tcPr>
            <w:tcW w:w="1570" w:type="dxa"/>
          </w:tcPr>
          <w:p w:rsidR="002D2D7C" w:rsidRDefault="002D2D7C" w:rsidP="00510A0D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286 932,74</w:t>
            </w:r>
          </w:p>
        </w:tc>
        <w:tc>
          <w:tcPr>
            <w:tcW w:w="1428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0,85</w:t>
            </w:r>
          </w:p>
        </w:tc>
        <w:tc>
          <w:tcPr>
            <w:tcW w:w="1531" w:type="dxa"/>
          </w:tcPr>
          <w:p w:rsidR="002D2D7C" w:rsidRDefault="004E14D2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2D2D7C">
        <w:trPr>
          <w:trHeight w:val="414"/>
        </w:trPr>
        <w:tc>
          <w:tcPr>
            <w:tcW w:w="3513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Штрафы, санкции, возмещение ущерба</w:t>
            </w:r>
          </w:p>
        </w:tc>
        <w:tc>
          <w:tcPr>
            <w:tcW w:w="1562" w:type="dxa"/>
          </w:tcPr>
          <w:p w:rsidR="002D2D7C" w:rsidRDefault="0025141D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8 275,71</w:t>
            </w:r>
          </w:p>
        </w:tc>
        <w:tc>
          <w:tcPr>
            <w:tcW w:w="1570" w:type="dxa"/>
          </w:tcPr>
          <w:p w:rsidR="002D2D7C" w:rsidRDefault="0025141D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8 275,71</w:t>
            </w:r>
          </w:p>
        </w:tc>
        <w:tc>
          <w:tcPr>
            <w:tcW w:w="1428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0,02</w:t>
            </w:r>
          </w:p>
        </w:tc>
        <w:tc>
          <w:tcPr>
            <w:tcW w:w="1531" w:type="dxa"/>
          </w:tcPr>
          <w:p w:rsidR="002D2D7C" w:rsidRDefault="004E14D2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2D2D7C">
        <w:trPr>
          <w:trHeight w:val="414"/>
        </w:trPr>
        <w:tc>
          <w:tcPr>
            <w:tcW w:w="3513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прочие неналоговые</w:t>
            </w:r>
          </w:p>
        </w:tc>
        <w:tc>
          <w:tcPr>
            <w:tcW w:w="1562" w:type="dxa"/>
          </w:tcPr>
          <w:p w:rsidR="002D2D7C" w:rsidRDefault="0025141D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383 181,00</w:t>
            </w:r>
          </w:p>
        </w:tc>
        <w:tc>
          <w:tcPr>
            <w:tcW w:w="1570" w:type="dxa"/>
          </w:tcPr>
          <w:p w:rsidR="002D2D7C" w:rsidRDefault="0025141D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383 181,00</w:t>
            </w:r>
          </w:p>
        </w:tc>
        <w:tc>
          <w:tcPr>
            <w:tcW w:w="1428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1,14</w:t>
            </w:r>
          </w:p>
        </w:tc>
        <w:tc>
          <w:tcPr>
            <w:tcW w:w="1531" w:type="dxa"/>
          </w:tcPr>
          <w:p w:rsidR="002D2D7C" w:rsidRDefault="004E14D2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2D2D7C">
        <w:tc>
          <w:tcPr>
            <w:tcW w:w="3513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  <w:t>Безвозмездные поступления  в том числе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  <w:t xml:space="preserve"> :</w:t>
            </w:r>
            <w:proofErr w:type="gramEnd"/>
          </w:p>
        </w:tc>
        <w:tc>
          <w:tcPr>
            <w:tcW w:w="1562" w:type="dxa"/>
          </w:tcPr>
          <w:p w:rsidR="002D2D7C" w:rsidRDefault="0025141D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11 919 541,74</w:t>
            </w:r>
          </w:p>
        </w:tc>
        <w:tc>
          <w:tcPr>
            <w:tcW w:w="1570" w:type="dxa"/>
          </w:tcPr>
          <w:p w:rsidR="002D2D7C" w:rsidRDefault="0025141D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10 467 991,88</w:t>
            </w:r>
          </w:p>
        </w:tc>
        <w:tc>
          <w:tcPr>
            <w:tcW w:w="1428" w:type="dxa"/>
          </w:tcPr>
          <w:p w:rsidR="002D2D7C" w:rsidRDefault="004E14D2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31,12</w:t>
            </w:r>
          </w:p>
        </w:tc>
        <w:tc>
          <w:tcPr>
            <w:tcW w:w="1531" w:type="dxa"/>
          </w:tcPr>
          <w:p w:rsidR="002D2D7C" w:rsidRDefault="004E14D2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87,82</w:t>
            </w:r>
          </w:p>
        </w:tc>
      </w:tr>
      <w:tr w:rsidR="002D2D7C">
        <w:tc>
          <w:tcPr>
            <w:tcW w:w="3513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Дотации бюджетам бюджетной системы РФ</w:t>
            </w:r>
          </w:p>
        </w:tc>
        <w:tc>
          <w:tcPr>
            <w:tcW w:w="1562" w:type="dxa"/>
          </w:tcPr>
          <w:p w:rsidR="002D2D7C" w:rsidRDefault="0025141D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4 731 230,79</w:t>
            </w:r>
          </w:p>
        </w:tc>
        <w:tc>
          <w:tcPr>
            <w:tcW w:w="1570" w:type="dxa"/>
          </w:tcPr>
          <w:p w:rsidR="002D2D7C" w:rsidRDefault="0025141D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4 731 230,79</w:t>
            </w:r>
          </w:p>
        </w:tc>
        <w:tc>
          <w:tcPr>
            <w:tcW w:w="1428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14,06</w:t>
            </w:r>
          </w:p>
        </w:tc>
        <w:tc>
          <w:tcPr>
            <w:tcW w:w="1531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100,00</w:t>
            </w:r>
          </w:p>
        </w:tc>
      </w:tr>
      <w:tr w:rsidR="002D2D7C">
        <w:tc>
          <w:tcPr>
            <w:tcW w:w="3513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Субсидии бюджетам бюджетной системы РФ</w:t>
            </w:r>
          </w:p>
        </w:tc>
        <w:tc>
          <w:tcPr>
            <w:tcW w:w="1562" w:type="dxa"/>
          </w:tcPr>
          <w:p w:rsidR="002D2D7C" w:rsidRDefault="0025141D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4 266 409,62</w:t>
            </w:r>
          </w:p>
        </w:tc>
        <w:tc>
          <w:tcPr>
            <w:tcW w:w="1570" w:type="dxa"/>
          </w:tcPr>
          <w:p w:rsidR="002D2D7C" w:rsidRDefault="0025141D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2 814 859,76</w:t>
            </w:r>
          </w:p>
        </w:tc>
        <w:tc>
          <w:tcPr>
            <w:tcW w:w="1428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8,37</w:t>
            </w:r>
          </w:p>
        </w:tc>
        <w:tc>
          <w:tcPr>
            <w:tcW w:w="1531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65,98</w:t>
            </w:r>
          </w:p>
        </w:tc>
      </w:tr>
      <w:tr w:rsidR="002D2D7C">
        <w:tc>
          <w:tcPr>
            <w:tcW w:w="3513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Субвенции бюджетам бюджетной системы РФ</w:t>
            </w:r>
          </w:p>
        </w:tc>
        <w:tc>
          <w:tcPr>
            <w:tcW w:w="1562" w:type="dxa"/>
          </w:tcPr>
          <w:p w:rsidR="002D2D7C" w:rsidRDefault="0025141D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635 361,00</w:t>
            </w:r>
          </w:p>
        </w:tc>
        <w:tc>
          <w:tcPr>
            <w:tcW w:w="1570" w:type="dxa"/>
          </w:tcPr>
          <w:p w:rsidR="002D2D7C" w:rsidRDefault="0025141D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635 361,00</w:t>
            </w:r>
          </w:p>
        </w:tc>
        <w:tc>
          <w:tcPr>
            <w:tcW w:w="1428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1,89</w:t>
            </w:r>
          </w:p>
        </w:tc>
        <w:tc>
          <w:tcPr>
            <w:tcW w:w="1531" w:type="dxa"/>
          </w:tcPr>
          <w:p w:rsidR="002D2D7C" w:rsidRDefault="004E14D2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2D2D7C">
        <w:tc>
          <w:tcPr>
            <w:tcW w:w="3513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Иные межбюджетные трансферты </w:t>
            </w:r>
          </w:p>
        </w:tc>
        <w:tc>
          <w:tcPr>
            <w:tcW w:w="1562" w:type="dxa"/>
          </w:tcPr>
          <w:p w:rsidR="002D2D7C" w:rsidRDefault="0025141D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2 286 540,33</w:t>
            </w:r>
          </w:p>
        </w:tc>
        <w:tc>
          <w:tcPr>
            <w:tcW w:w="1570" w:type="dxa"/>
          </w:tcPr>
          <w:p w:rsidR="002D2D7C" w:rsidRDefault="0025141D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2 286 540,33</w:t>
            </w:r>
          </w:p>
        </w:tc>
        <w:tc>
          <w:tcPr>
            <w:tcW w:w="1428" w:type="dxa"/>
          </w:tcPr>
          <w:p w:rsidR="002D2D7C" w:rsidRDefault="004E14D2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6,80</w:t>
            </w:r>
          </w:p>
        </w:tc>
        <w:tc>
          <w:tcPr>
            <w:tcW w:w="1531" w:type="dxa"/>
          </w:tcPr>
          <w:p w:rsidR="002D2D7C" w:rsidRDefault="0025141D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2D2D7C">
        <w:tc>
          <w:tcPr>
            <w:tcW w:w="3513" w:type="dxa"/>
          </w:tcPr>
          <w:p w:rsidR="002D2D7C" w:rsidRDefault="002D2D7C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ИТОГО</w:t>
            </w:r>
          </w:p>
        </w:tc>
        <w:tc>
          <w:tcPr>
            <w:tcW w:w="1562" w:type="dxa"/>
          </w:tcPr>
          <w:p w:rsidR="002D2D7C" w:rsidRDefault="002D2D7C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33 997 094,17</w:t>
            </w:r>
          </w:p>
        </w:tc>
        <w:tc>
          <w:tcPr>
            <w:tcW w:w="1570" w:type="dxa"/>
          </w:tcPr>
          <w:p w:rsidR="002D2D7C" w:rsidRDefault="002D2D7C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33 639 773,27</w:t>
            </w:r>
          </w:p>
        </w:tc>
        <w:tc>
          <w:tcPr>
            <w:tcW w:w="1428" w:type="dxa"/>
          </w:tcPr>
          <w:p w:rsidR="002D2D7C" w:rsidRDefault="002D2D7C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100,00</w:t>
            </w:r>
          </w:p>
        </w:tc>
        <w:tc>
          <w:tcPr>
            <w:tcW w:w="1531" w:type="dxa"/>
          </w:tcPr>
          <w:p w:rsidR="002D2D7C" w:rsidRDefault="002D2D7C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98,94</w:t>
            </w:r>
          </w:p>
        </w:tc>
      </w:tr>
    </w:tbl>
    <w:p w:rsidR="00B62C34" w:rsidRDefault="00650BFF" w:rsidP="004B2B89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Бюджетные назначения в 202</w:t>
      </w:r>
      <w:r w:rsidR="00591F7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году по группе доходов «Налоговые и неналоговые доходы» в целом выполнено на </w:t>
      </w:r>
      <w:r w:rsidR="00591F72">
        <w:rPr>
          <w:rFonts w:ascii="Times New Roman" w:hAnsi="Times New Roman"/>
          <w:sz w:val="24"/>
          <w:szCs w:val="24"/>
        </w:rPr>
        <w:t>104,96</w:t>
      </w:r>
      <w:r>
        <w:rPr>
          <w:rFonts w:ascii="Times New Roman" w:hAnsi="Times New Roman"/>
          <w:sz w:val="24"/>
          <w:szCs w:val="24"/>
        </w:rPr>
        <w:t xml:space="preserve">%, в разрезе подгрупп исполнение составило </w:t>
      </w:r>
      <w:r w:rsidR="00591F72">
        <w:rPr>
          <w:rFonts w:ascii="Times New Roman" w:hAnsi="Times New Roman"/>
          <w:sz w:val="24"/>
          <w:szCs w:val="24"/>
        </w:rPr>
        <w:t>107,32</w:t>
      </w:r>
      <w:r>
        <w:rPr>
          <w:rFonts w:ascii="Times New Roman" w:hAnsi="Times New Roman"/>
          <w:sz w:val="24"/>
          <w:szCs w:val="24"/>
        </w:rPr>
        <w:t xml:space="preserve">% и </w:t>
      </w:r>
      <w:r w:rsidR="00591F72">
        <w:rPr>
          <w:rFonts w:ascii="Times New Roman" w:hAnsi="Times New Roman"/>
          <w:sz w:val="24"/>
          <w:szCs w:val="24"/>
        </w:rPr>
        <w:t>90,69</w:t>
      </w:r>
      <w:r>
        <w:rPr>
          <w:rFonts w:ascii="Times New Roman" w:hAnsi="Times New Roman"/>
          <w:sz w:val="24"/>
          <w:szCs w:val="24"/>
        </w:rPr>
        <w:t>% соответственно.</w:t>
      </w:r>
    </w:p>
    <w:p w:rsidR="00B62C34" w:rsidRDefault="00650BFF" w:rsidP="004B2B89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Фактическое поступление налоговых доходов составило  </w:t>
      </w:r>
      <w:r w:rsidR="00591F72">
        <w:rPr>
          <w:rFonts w:ascii="Times New Roman" w:hAnsi="Times New Roman"/>
          <w:color w:val="444444"/>
          <w:sz w:val="24"/>
          <w:szCs w:val="24"/>
        </w:rPr>
        <w:t xml:space="preserve">20 326 095,98 </w:t>
      </w:r>
      <w:r>
        <w:rPr>
          <w:rFonts w:ascii="Times New Roman" w:hAnsi="Times New Roman"/>
          <w:sz w:val="24"/>
          <w:szCs w:val="24"/>
        </w:rPr>
        <w:t>рублей. Основным источником дохода бюджета поселения являются Налог</w:t>
      </w:r>
      <w:r w:rsidR="00591F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доходы физических лиц (удельный вес в структуре налоговых доходов составил </w:t>
      </w:r>
      <w:r w:rsidR="00591F72">
        <w:rPr>
          <w:rFonts w:ascii="Times New Roman" w:hAnsi="Times New Roman"/>
          <w:sz w:val="24"/>
          <w:szCs w:val="24"/>
        </w:rPr>
        <w:t>66,16</w:t>
      </w:r>
      <w:r>
        <w:rPr>
          <w:rFonts w:ascii="Times New Roman" w:hAnsi="Times New Roman"/>
          <w:sz w:val="24"/>
          <w:szCs w:val="24"/>
        </w:rPr>
        <w:t>%)</w:t>
      </w:r>
      <w:bookmarkStart w:id="0" w:name="OLE_LINK2"/>
      <w:bookmarkStart w:id="1" w:name="OLE_LINK1"/>
      <w:bookmarkEnd w:id="0"/>
      <w:bookmarkEnd w:id="1"/>
      <w:r w:rsidR="00591F72">
        <w:rPr>
          <w:rFonts w:ascii="Times New Roman" w:hAnsi="Times New Roman"/>
          <w:sz w:val="24"/>
          <w:szCs w:val="24"/>
        </w:rPr>
        <w:t xml:space="preserve">, налоги на товары (работы, услуги) реализуемые на территории РФ, в структуре налоговых доходов </w:t>
      </w:r>
      <w:r w:rsidR="00591F72">
        <w:rPr>
          <w:rFonts w:ascii="Times New Roman" w:hAnsi="Times New Roman"/>
          <w:sz w:val="24"/>
          <w:szCs w:val="24"/>
        </w:rPr>
        <w:lastRenderedPageBreak/>
        <w:t xml:space="preserve">занимают 17,40%. </w:t>
      </w:r>
    </w:p>
    <w:p w:rsidR="00B62C34" w:rsidRDefault="00650BFF" w:rsidP="004B2B89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Недоимка по платежам в бюджет поселения у</w:t>
      </w:r>
      <w:r w:rsidR="00C13AF5">
        <w:rPr>
          <w:rFonts w:ascii="Times New Roman" w:hAnsi="Times New Roman"/>
          <w:sz w:val="24"/>
          <w:szCs w:val="24"/>
        </w:rPr>
        <w:t>велич</w:t>
      </w:r>
      <w:r>
        <w:rPr>
          <w:rFonts w:ascii="Times New Roman" w:hAnsi="Times New Roman"/>
          <w:sz w:val="24"/>
          <w:szCs w:val="24"/>
        </w:rPr>
        <w:t>илась за отчетный период 202</w:t>
      </w:r>
      <w:r w:rsidR="00C13AF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 с </w:t>
      </w:r>
      <w:r w:rsidR="00C13AF5" w:rsidRPr="00C13AF5">
        <w:rPr>
          <w:rFonts w:ascii="Times New Roman" w:hAnsi="Times New Roman"/>
          <w:sz w:val="24"/>
          <w:szCs w:val="24"/>
        </w:rPr>
        <w:t>397 933,62</w:t>
      </w:r>
      <w:r w:rsidR="00C13AF5">
        <w:t xml:space="preserve"> </w:t>
      </w:r>
      <w:r>
        <w:rPr>
          <w:rFonts w:ascii="Times New Roman" w:hAnsi="Times New Roman"/>
          <w:sz w:val="24"/>
          <w:szCs w:val="24"/>
        </w:rPr>
        <w:t>рублей до</w:t>
      </w:r>
      <w:r w:rsidR="00C13AF5">
        <w:rPr>
          <w:rFonts w:ascii="Times New Roman" w:hAnsi="Times New Roman"/>
          <w:sz w:val="24"/>
          <w:szCs w:val="24"/>
        </w:rPr>
        <w:t xml:space="preserve"> 427 398,09</w:t>
      </w:r>
      <w:r>
        <w:rPr>
          <w:rFonts w:ascii="Times New Roman" w:hAnsi="Times New Roman"/>
          <w:sz w:val="24"/>
          <w:szCs w:val="24"/>
        </w:rPr>
        <w:t xml:space="preserve"> рублей (на </w:t>
      </w:r>
      <w:r w:rsidR="00C13AF5">
        <w:rPr>
          <w:rFonts w:ascii="Times New Roman" w:hAnsi="Times New Roman"/>
          <w:sz w:val="24"/>
          <w:szCs w:val="24"/>
        </w:rPr>
        <w:t>7,44</w:t>
      </w:r>
      <w:r>
        <w:rPr>
          <w:rFonts w:ascii="Times New Roman" w:hAnsi="Times New Roman"/>
          <w:sz w:val="24"/>
          <w:szCs w:val="24"/>
        </w:rPr>
        <w:t>%). Основные суммы недоимки числятся по налогу на имущество физических лиц</w:t>
      </w:r>
      <w:r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, земельный налог.</w:t>
      </w:r>
    </w:p>
    <w:p w:rsidR="00B62C34" w:rsidRDefault="00650BFF" w:rsidP="004B2B89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 поступлений по неналоговым доходам выполнен на </w:t>
      </w:r>
      <w:r w:rsidR="00C13AF5">
        <w:rPr>
          <w:rFonts w:ascii="Times New Roman" w:hAnsi="Times New Roman"/>
          <w:sz w:val="24"/>
          <w:szCs w:val="24"/>
        </w:rPr>
        <w:t>90,69</w:t>
      </w:r>
      <w:r>
        <w:rPr>
          <w:rFonts w:ascii="Times New Roman" w:hAnsi="Times New Roman"/>
          <w:sz w:val="24"/>
          <w:szCs w:val="24"/>
        </w:rPr>
        <w:t xml:space="preserve"> %, фактическое поступление в бюджет поселения составило  </w:t>
      </w:r>
      <w:r w:rsidR="00C13AF5">
        <w:rPr>
          <w:rFonts w:ascii="Times New Roman" w:hAnsi="Times New Roman"/>
          <w:sz w:val="24"/>
          <w:szCs w:val="24"/>
        </w:rPr>
        <w:t>2 845 685,41</w:t>
      </w:r>
      <w:r>
        <w:rPr>
          <w:rFonts w:ascii="Times New Roman" w:hAnsi="Times New Roman"/>
          <w:sz w:val="24"/>
          <w:szCs w:val="24"/>
        </w:rPr>
        <w:t>,00 рублей.</w:t>
      </w:r>
    </w:p>
    <w:p w:rsidR="00B62C34" w:rsidRDefault="00650BFF" w:rsidP="004B2B89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структуре неналоговых доходов </w:t>
      </w:r>
      <w:bookmarkStart w:id="2" w:name="OLE_LINK4"/>
      <w:bookmarkStart w:id="3" w:name="OLE_LINK3"/>
      <w:r>
        <w:rPr>
          <w:rFonts w:ascii="Times New Roman" w:hAnsi="Times New Roman"/>
          <w:sz w:val="24"/>
          <w:szCs w:val="24"/>
        </w:rPr>
        <w:t xml:space="preserve">наибольший удельный вес  занимают доходы от использования имущества находящегося в муниципальной собственности </w:t>
      </w:r>
      <w:bookmarkEnd w:id="2"/>
      <w:bookmarkEnd w:id="3"/>
      <w:r w:rsidR="00C13AF5">
        <w:rPr>
          <w:rFonts w:ascii="Times New Roman" w:hAnsi="Times New Roman"/>
          <w:sz w:val="24"/>
          <w:szCs w:val="24"/>
        </w:rPr>
        <w:t>76,16</w:t>
      </w:r>
      <w:r>
        <w:rPr>
          <w:rFonts w:ascii="Times New Roman" w:hAnsi="Times New Roman"/>
          <w:sz w:val="24"/>
          <w:szCs w:val="24"/>
        </w:rPr>
        <w:t xml:space="preserve"> %.</w:t>
      </w:r>
    </w:p>
    <w:p w:rsidR="00B62C34" w:rsidRDefault="00650BFF" w:rsidP="004B2B89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Недоимка за отчетный период 202</w:t>
      </w:r>
      <w:r w:rsidR="00C13AF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 составила объем</w:t>
      </w:r>
      <w:r w:rsidR="00C13AF5">
        <w:rPr>
          <w:rFonts w:ascii="Times New Roman" w:hAnsi="Times New Roman"/>
          <w:sz w:val="24"/>
          <w:szCs w:val="24"/>
        </w:rPr>
        <w:t xml:space="preserve"> </w:t>
      </w:r>
      <w:r w:rsidR="006876F2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6 161 148,58</w:t>
      </w:r>
      <w:r>
        <w:rPr>
          <w:rFonts w:ascii="Times New Roman" w:hAnsi="Times New Roman"/>
          <w:sz w:val="24"/>
          <w:szCs w:val="24"/>
        </w:rPr>
        <w:t>рублей</w:t>
      </w:r>
      <w:r w:rsidR="006876F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задолженность ООО «Тепловик» по аренде недвижимого имущества</w:t>
      </w:r>
      <w:r w:rsidR="006876F2">
        <w:rPr>
          <w:rFonts w:ascii="Times New Roman" w:hAnsi="Times New Roman"/>
          <w:sz w:val="24"/>
          <w:szCs w:val="24"/>
        </w:rPr>
        <w:t xml:space="preserve"> 4 660 250,70 рублей, пени по задолженности за арендную плату 1 406 990,</w:t>
      </w:r>
      <w:r w:rsidR="0023721C">
        <w:rPr>
          <w:rFonts w:ascii="Times New Roman" w:hAnsi="Times New Roman"/>
          <w:sz w:val="24"/>
          <w:szCs w:val="24"/>
        </w:rPr>
        <w:t xml:space="preserve">67 рублей, задолженность физических лиц за аренду имущества 93 907,21 рублей.).  В отношении задолжников ведется </w:t>
      </w:r>
      <w:proofErr w:type="spellStart"/>
      <w:r w:rsidR="0023721C">
        <w:rPr>
          <w:rFonts w:ascii="Times New Roman" w:hAnsi="Times New Roman"/>
          <w:sz w:val="24"/>
          <w:szCs w:val="24"/>
        </w:rPr>
        <w:t>претензионно-исковая</w:t>
      </w:r>
      <w:proofErr w:type="spellEnd"/>
      <w:r w:rsidR="0023721C">
        <w:rPr>
          <w:rFonts w:ascii="Times New Roman" w:hAnsi="Times New Roman"/>
          <w:sz w:val="24"/>
          <w:szCs w:val="24"/>
        </w:rPr>
        <w:t xml:space="preserve"> работа. </w:t>
      </w:r>
    </w:p>
    <w:p w:rsidR="00B62C34" w:rsidRDefault="00650BFF" w:rsidP="004B2B89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структуре доходов поселения доходы в виде безвозмездных поступлений из других бюджетов бюджетной системы РФ составляют </w:t>
      </w:r>
      <w:r w:rsidR="0023721C">
        <w:rPr>
          <w:rFonts w:ascii="Times New Roman" w:hAnsi="Times New Roman"/>
          <w:sz w:val="24"/>
          <w:szCs w:val="24"/>
        </w:rPr>
        <w:t>31,12</w:t>
      </w:r>
      <w:r>
        <w:rPr>
          <w:rFonts w:ascii="Times New Roman" w:hAnsi="Times New Roman"/>
          <w:sz w:val="24"/>
          <w:szCs w:val="24"/>
        </w:rPr>
        <w:t xml:space="preserve"> % в общем объеме поступлений. </w:t>
      </w:r>
      <w:proofErr w:type="gramStart"/>
      <w:r>
        <w:rPr>
          <w:rFonts w:ascii="Times New Roman" w:hAnsi="Times New Roman"/>
          <w:sz w:val="24"/>
          <w:szCs w:val="24"/>
        </w:rPr>
        <w:t xml:space="preserve">Плановые показатели исполнены на </w:t>
      </w:r>
      <w:r w:rsidR="0023721C">
        <w:rPr>
          <w:rFonts w:ascii="Times New Roman" w:hAnsi="Times New Roman"/>
          <w:sz w:val="24"/>
          <w:szCs w:val="24"/>
        </w:rPr>
        <w:t>87,82</w:t>
      </w:r>
      <w:r>
        <w:rPr>
          <w:rFonts w:ascii="Times New Roman" w:hAnsi="Times New Roman"/>
          <w:sz w:val="24"/>
          <w:szCs w:val="24"/>
        </w:rPr>
        <w:t>%. В</w:t>
      </w:r>
      <w:r>
        <w:rPr>
          <w:rFonts w:ascii="Times New Roman" w:hAnsi="Times New Roman"/>
          <w:sz w:val="24"/>
          <w:szCs w:val="24"/>
        </w:rPr>
        <w:tab/>
        <w:t xml:space="preserve"> структуре безвозмездных поступлений наибольший удельный вес занимают </w:t>
      </w:r>
      <w:r w:rsidR="0023721C">
        <w:rPr>
          <w:rFonts w:ascii="Times New Roman" w:hAnsi="Times New Roman"/>
          <w:sz w:val="24"/>
          <w:szCs w:val="24"/>
        </w:rPr>
        <w:t>дотации на выравнивание бюджетной обеспеченности, сумма поступлений 4 699 903,79 рублей или 99,34% в объеме дотаций, субсидии бюджетам городских поселений  на реализацию мероприятий по обеспечению жильем молодых семей поступили в объеме 1 176 367,50 рублей,</w:t>
      </w:r>
      <w:r w:rsidR="00CE4D85">
        <w:rPr>
          <w:rFonts w:ascii="Times New Roman" w:hAnsi="Times New Roman"/>
          <w:sz w:val="24"/>
          <w:szCs w:val="24"/>
        </w:rPr>
        <w:t xml:space="preserve"> прочие субсидии бюджетам городских поселений поступили в объеме 1 638 492,26 рублей</w:t>
      </w:r>
      <w:proofErr w:type="gramEnd"/>
      <w:r w:rsidR="00CE4D85">
        <w:rPr>
          <w:rFonts w:ascii="Times New Roman" w:hAnsi="Times New Roman"/>
          <w:sz w:val="24"/>
          <w:szCs w:val="24"/>
        </w:rPr>
        <w:t>, в том числе  по данным Пояснительной записки на создание мест (площадок) накопления твердых коммунальных отходов и (или</w:t>
      </w:r>
      <w:proofErr w:type="gramStart"/>
      <w:r w:rsidR="00CE4D85">
        <w:rPr>
          <w:rFonts w:ascii="Times New Roman" w:hAnsi="Times New Roman"/>
          <w:sz w:val="24"/>
          <w:szCs w:val="24"/>
        </w:rPr>
        <w:t>)п</w:t>
      </w:r>
      <w:proofErr w:type="gramEnd"/>
      <w:r w:rsidR="00CE4D85">
        <w:rPr>
          <w:rFonts w:ascii="Times New Roman" w:hAnsi="Times New Roman"/>
          <w:sz w:val="24"/>
          <w:szCs w:val="24"/>
        </w:rPr>
        <w:t>риобретение контейнеров (бункеров) в размере 164 499,72 рублей, на оформление технических планов в отношении бесхозных газопроводов в размере 515 478,41 рублей, на содержание автомобильных дорог общего пользования в сумме 958 514,13 рублей. Субвенции поступили в объеме 635 361,00 рублей на осуществление первичного воинского учета</w:t>
      </w:r>
      <w:r w:rsidR="00F03827">
        <w:rPr>
          <w:rFonts w:ascii="Times New Roman" w:hAnsi="Times New Roman"/>
          <w:sz w:val="24"/>
          <w:szCs w:val="24"/>
        </w:rPr>
        <w:t>.</w:t>
      </w:r>
      <w:r w:rsidR="00CE4D85">
        <w:rPr>
          <w:rFonts w:ascii="Times New Roman" w:hAnsi="Times New Roman"/>
          <w:sz w:val="24"/>
          <w:szCs w:val="24"/>
        </w:rPr>
        <w:t xml:space="preserve"> </w:t>
      </w:r>
      <w:r w:rsidR="00F03827">
        <w:rPr>
          <w:rFonts w:ascii="Times New Roman" w:hAnsi="Times New Roman"/>
          <w:sz w:val="24"/>
          <w:szCs w:val="24"/>
        </w:rPr>
        <w:t>И</w:t>
      </w:r>
      <w:r w:rsidR="00CE4D85">
        <w:rPr>
          <w:rFonts w:ascii="Times New Roman" w:hAnsi="Times New Roman"/>
          <w:sz w:val="24"/>
          <w:szCs w:val="24"/>
        </w:rPr>
        <w:t>ные межбюджетные трансферты поступили в объеме 2 286 540,</w:t>
      </w:r>
      <w:r w:rsidR="0005598F">
        <w:rPr>
          <w:rFonts w:ascii="Times New Roman" w:hAnsi="Times New Roman"/>
          <w:sz w:val="24"/>
          <w:szCs w:val="24"/>
        </w:rPr>
        <w:t xml:space="preserve">33 рублей, из них 2 000 000,00 рублей на реализацию инициативных проектов в сфере формирования комфортной городской среды, 286 540,33 рублей на осуществление части  полномочий </w:t>
      </w:r>
      <w:r w:rsidR="00CE4D85">
        <w:rPr>
          <w:rFonts w:ascii="Times New Roman" w:hAnsi="Times New Roman"/>
          <w:sz w:val="24"/>
          <w:szCs w:val="24"/>
        </w:rPr>
        <w:t xml:space="preserve"> </w:t>
      </w:r>
      <w:r w:rsidR="0005598F">
        <w:rPr>
          <w:rFonts w:ascii="Times New Roman" w:hAnsi="Times New Roman"/>
          <w:sz w:val="24"/>
          <w:szCs w:val="24"/>
        </w:rPr>
        <w:t>по решению вопросов местного значения в соответствии с заключенными соглашениями.</w:t>
      </w:r>
    </w:p>
    <w:p w:rsidR="00B62C34" w:rsidRDefault="00B62C34">
      <w:pPr>
        <w:widowControl w:val="0"/>
        <w:ind w:right="-1"/>
        <w:jc w:val="center"/>
        <w:rPr>
          <w:b/>
        </w:rPr>
      </w:pPr>
    </w:p>
    <w:p w:rsidR="00B62C34" w:rsidRDefault="00650BFF">
      <w:pPr>
        <w:widowControl w:val="0"/>
        <w:ind w:right="-1"/>
        <w:jc w:val="center"/>
        <w:rPr>
          <w:b/>
        </w:rPr>
      </w:pPr>
      <w:r>
        <w:rPr>
          <w:b/>
        </w:rPr>
        <w:t>5.Исполнение расходной части бюджета поселения за 202</w:t>
      </w:r>
      <w:r w:rsidR="00F03827">
        <w:rPr>
          <w:b/>
        </w:rPr>
        <w:t>2</w:t>
      </w:r>
      <w:r>
        <w:rPr>
          <w:b/>
        </w:rPr>
        <w:t xml:space="preserve"> год.</w:t>
      </w:r>
    </w:p>
    <w:p w:rsidR="00B80FA9" w:rsidRDefault="00B80FA9" w:rsidP="00B80FA9">
      <w:pPr>
        <w:pStyle w:val="western"/>
        <w:spacing w:before="0" w:beforeAutospacing="0" w:after="0"/>
        <w:ind w:firstLine="709"/>
        <w:jc w:val="both"/>
      </w:pPr>
      <w:r>
        <w:t>В соответствии со статьей 215.1. Бюджетного Кодекса РФ исполнение бюджета Полтавского городского поселения организуется на основе сводной бюджетной росписи и кассового плана.</w:t>
      </w:r>
    </w:p>
    <w:p w:rsidR="00B80FA9" w:rsidRDefault="00B80FA9" w:rsidP="00B80FA9">
      <w:pPr>
        <w:pStyle w:val="western"/>
        <w:spacing w:before="0" w:beforeAutospacing="0" w:after="0"/>
        <w:ind w:firstLine="709"/>
        <w:jc w:val="both"/>
      </w:pPr>
      <w:r>
        <w:t>Показатели сводной бюджетной росписи расходов бюджета поселения составлены по кодам классификации расходов по главным распорядителям бюджетных средств и классификации операций сектора государственного управления.</w:t>
      </w:r>
    </w:p>
    <w:p w:rsidR="00F03827" w:rsidRDefault="00B80FA9" w:rsidP="00B80FA9">
      <w:pPr>
        <w:pStyle w:val="western"/>
        <w:spacing w:before="0" w:beforeAutospacing="0" w:after="0"/>
        <w:ind w:firstLine="709"/>
        <w:jc w:val="both"/>
        <w:rPr>
          <w:b/>
        </w:rPr>
      </w:pPr>
      <w:r>
        <w:t>Плановый объем расходов и их назначение, указанные в представленной отчетн</w:t>
      </w:r>
      <w:r>
        <w:t>о</w:t>
      </w:r>
      <w:r>
        <w:t>сти, сформированы с учетом уточнений, внесенных на основании Решений Совета пос</w:t>
      </w:r>
      <w:r>
        <w:t>е</w:t>
      </w:r>
      <w:r>
        <w:t xml:space="preserve">ления. </w:t>
      </w:r>
    </w:p>
    <w:p w:rsidR="00B62C34" w:rsidRDefault="00650BFF" w:rsidP="00B80FA9">
      <w:pPr>
        <w:widowControl w:val="0"/>
        <w:ind w:firstLine="709"/>
        <w:jc w:val="both"/>
      </w:pPr>
      <w:r>
        <w:t>Исполнение расходной части бюджета поселения за 202</w:t>
      </w:r>
      <w:r w:rsidR="00F03827">
        <w:t>2</w:t>
      </w:r>
      <w:r>
        <w:t xml:space="preserve"> год характеризуется следующими показателями:</w:t>
      </w:r>
    </w:p>
    <w:p w:rsidR="00B62C34" w:rsidRDefault="00650BFF">
      <w:pPr>
        <w:widowControl w:val="0"/>
        <w:ind w:right="-1"/>
        <w:jc w:val="right"/>
      </w:pPr>
      <w:r>
        <w:t>Таблица 5</w:t>
      </w:r>
    </w:p>
    <w:tbl>
      <w:tblPr>
        <w:tblStyle w:val="af0"/>
        <w:tblW w:w="9570" w:type="dxa"/>
        <w:tblLook w:val="04A0"/>
      </w:tblPr>
      <w:tblGrid>
        <w:gridCol w:w="2551"/>
        <w:gridCol w:w="1772"/>
        <w:gridCol w:w="1776"/>
        <w:gridCol w:w="1712"/>
        <w:gridCol w:w="1759"/>
      </w:tblGrid>
      <w:tr w:rsidR="00B62C34">
        <w:tc>
          <w:tcPr>
            <w:tcW w:w="2551" w:type="dxa"/>
          </w:tcPr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Наименование раздела</w:t>
            </w:r>
          </w:p>
        </w:tc>
        <w:tc>
          <w:tcPr>
            <w:tcW w:w="1772" w:type="dxa"/>
          </w:tcPr>
          <w:p w:rsidR="00B62C34" w:rsidRDefault="00650BFF" w:rsidP="00B80FA9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Утверждено Решением о бюджете на 202</w:t>
            </w:r>
            <w:r w:rsidR="00B80FA9">
              <w:rPr>
                <w:color w:val="444444"/>
                <w:vertAlign w:val="superscript"/>
              </w:rPr>
              <w:t>2</w:t>
            </w:r>
            <w:r>
              <w:rPr>
                <w:color w:val="444444"/>
                <w:vertAlign w:val="superscript"/>
              </w:rPr>
              <w:t xml:space="preserve"> год (в редакции от 29.12.202</w:t>
            </w:r>
            <w:r w:rsidR="00B80FA9">
              <w:rPr>
                <w:color w:val="444444"/>
                <w:vertAlign w:val="superscript"/>
              </w:rPr>
              <w:t>2 №</w:t>
            </w:r>
            <w:r>
              <w:rPr>
                <w:color w:val="444444"/>
                <w:vertAlign w:val="superscript"/>
              </w:rPr>
              <w:t>7</w:t>
            </w:r>
            <w:r w:rsidR="00B80FA9">
              <w:rPr>
                <w:color w:val="444444"/>
                <w:vertAlign w:val="superscript"/>
              </w:rPr>
              <w:t>3</w:t>
            </w:r>
            <w:r>
              <w:rPr>
                <w:color w:val="444444"/>
                <w:vertAlign w:val="superscript"/>
              </w:rPr>
              <w:t xml:space="preserve">), </w:t>
            </w:r>
            <w:r>
              <w:rPr>
                <w:color w:val="444444"/>
                <w:vertAlign w:val="superscript"/>
              </w:rPr>
              <w:lastRenderedPageBreak/>
              <w:t>рублей</w:t>
            </w:r>
          </w:p>
        </w:tc>
        <w:tc>
          <w:tcPr>
            <w:tcW w:w="1776" w:type="dxa"/>
          </w:tcPr>
          <w:p w:rsidR="00B62C34" w:rsidRDefault="00650BFF" w:rsidP="00B80FA9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lastRenderedPageBreak/>
              <w:t>Исполнено, Проект решения об исполнении бюджета за 202</w:t>
            </w:r>
            <w:r w:rsidR="00B80FA9">
              <w:rPr>
                <w:color w:val="444444"/>
                <w:vertAlign w:val="superscript"/>
              </w:rPr>
              <w:t>2</w:t>
            </w:r>
            <w:r>
              <w:rPr>
                <w:color w:val="444444"/>
                <w:vertAlign w:val="superscript"/>
              </w:rPr>
              <w:t xml:space="preserve"> год </w:t>
            </w:r>
          </w:p>
        </w:tc>
        <w:tc>
          <w:tcPr>
            <w:tcW w:w="1712" w:type="dxa"/>
          </w:tcPr>
          <w:p w:rsidR="00B62C34" w:rsidRDefault="00650BFF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Удельный вес, в общем объеме расходов, %</w:t>
            </w:r>
          </w:p>
        </w:tc>
        <w:tc>
          <w:tcPr>
            <w:tcW w:w="1759" w:type="dxa"/>
          </w:tcPr>
          <w:p w:rsidR="00B62C34" w:rsidRDefault="00650BFF">
            <w:pPr>
              <w:pStyle w:val="ac"/>
              <w:widowControl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Процент исполнения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%</w:t>
            </w:r>
          </w:p>
        </w:tc>
      </w:tr>
      <w:tr w:rsidR="00B62C34">
        <w:tc>
          <w:tcPr>
            <w:tcW w:w="2551" w:type="dxa"/>
          </w:tcPr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lastRenderedPageBreak/>
              <w:t>0100</w:t>
            </w:r>
          </w:p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 xml:space="preserve">Общегосударственные вопросы </w:t>
            </w:r>
          </w:p>
        </w:tc>
        <w:tc>
          <w:tcPr>
            <w:tcW w:w="1772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18 113 179,81</w:t>
            </w:r>
          </w:p>
        </w:tc>
        <w:tc>
          <w:tcPr>
            <w:tcW w:w="1776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16 355 672,42</w:t>
            </w:r>
          </w:p>
        </w:tc>
        <w:tc>
          <w:tcPr>
            <w:tcW w:w="1712" w:type="dxa"/>
          </w:tcPr>
          <w:p w:rsidR="00B62C34" w:rsidRDefault="001550C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49,77</w:t>
            </w:r>
          </w:p>
        </w:tc>
        <w:tc>
          <w:tcPr>
            <w:tcW w:w="1759" w:type="dxa"/>
          </w:tcPr>
          <w:p w:rsidR="00B62C34" w:rsidRDefault="007C26C1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90,30</w:t>
            </w:r>
          </w:p>
        </w:tc>
      </w:tr>
      <w:tr w:rsidR="00B62C34">
        <w:tc>
          <w:tcPr>
            <w:tcW w:w="2551" w:type="dxa"/>
          </w:tcPr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0200</w:t>
            </w:r>
          </w:p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Национальная оборона</w:t>
            </w:r>
          </w:p>
        </w:tc>
        <w:tc>
          <w:tcPr>
            <w:tcW w:w="1772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635 361,00</w:t>
            </w:r>
          </w:p>
        </w:tc>
        <w:tc>
          <w:tcPr>
            <w:tcW w:w="1776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635 361,00</w:t>
            </w:r>
          </w:p>
        </w:tc>
        <w:tc>
          <w:tcPr>
            <w:tcW w:w="1712" w:type="dxa"/>
          </w:tcPr>
          <w:p w:rsidR="00B62C34" w:rsidRDefault="001550C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1,93</w:t>
            </w:r>
          </w:p>
        </w:tc>
        <w:tc>
          <w:tcPr>
            <w:tcW w:w="1759" w:type="dxa"/>
          </w:tcPr>
          <w:p w:rsidR="00B62C34" w:rsidRDefault="00B80FA9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B62C34">
        <w:tc>
          <w:tcPr>
            <w:tcW w:w="2551" w:type="dxa"/>
          </w:tcPr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0300</w:t>
            </w:r>
          </w:p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Национальная безопасность и правоохранительная деятельность</w:t>
            </w:r>
          </w:p>
        </w:tc>
        <w:tc>
          <w:tcPr>
            <w:tcW w:w="1772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28 515,86</w:t>
            </w:r>
          </w:p>
        </w:tc>
        <w:tc>
          <w:tcPr>
            <w:tcW w:w="1776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28 515,86</w:t>
            </w:r>
          </w:p>
        </w:tc>
        <w:tc>
          <w:tcPr>
            <w:tcW w:w="1712" w:type="dxa"/>
          </w:tcPr>
          <w:p w:rsidR="00B62C34" w:rsidRDefault="001550C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0,09</w:t>
            </w:r>
          </w:p>
        </w:tc>
        <w:tc>
          <w:tcPr>
            <w:tcW w:w="1759" w:type="dxa"/>
          </w:tcPr>
          <w:p w:rsidR="00B62C34" w:rsidRDefault="00B80FA9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B62C34">
        <w:tc>
          <w:tcPr>
            <w:tcW w:w="2551" w:type="dxa"/>
          </w:tcPr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0400</w:t>
            </w:r>
          </w:p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Национальная экономика</w:t>
            </w:r>
          </w:p>
        </w:tc>
        <w:tc>
          <w:tcPr>
            <w:tcW w:w="1772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5 256 654,12</w:t>
            </w:r>
          </w:p>
        </w:tc>
        <w:tc>
          <w:tcPr>
            <w:tcW w:w="1776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5 251 583,96</w:t>
            </w:r>
          </w:p>
        </w:tc>
        <w:tc>
          <w:tcPr>
            <w:tcW w:w="1712" w:type="dxa"/>
          </w:tcPr>
          <w:p w:rsidR="00B62C34" w:rsidRDefault="001550C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15,98</w:t>
            </w:r>
          </w:p>
        </w:tc>
        <w:tc>
          <w:tcPr>
            <w:tcW w:w="1759" w:type="dxa"/>
          </w:tcPr>
          <w:p w:rsidR="00B62C34" w:rsidRDefault="007C26C1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99,90</w:t>
            </w:r>
          </w:p>
        </w:tc>
      </w:tr>
      <w:tr w:rsidR="00B62C34">
        <w:tc>
          <w:tcPr>
            <w:tcW w:w="2551" w:type="dxa"/>
          </w:tcPr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0500</w:t>
            </w:r>
          </w:p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Жилищно-коммунальное хозяйство</w:t>
            </w:r>
          </w:p>
        </w:tc>
        <w:tc>
          <w:tcPr>
            <w:tcW w:w="1772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8 686 467,97</w:t>
            </w:r>
          </w:p>
        </w:tc>
        <w:tc>
          <w:tcPr>
            <w:tcW w:w="1776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8 675 367,97</w:t>
            </w:r>
          </w:p>
        </w:tc>
        <w:tc>
          <w:tcPr>
            <w:tcW w:w="1712" w:type="dxa"/>
          </w:tcPr>
          <w:p w:rsidR="00B62C34" w:rsidRDefault="001550C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26,40</w:t>
            </w:r>
          </w:p>
        </w:tc>
        <w:tc>
          <w:tcPr>
            <w:tcW w:w="1759" w:type="dxa"/>
          </w:tcPr>
          <w:p w:rsidR="00B62C34" w:rsidRDefault="007C26C1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99,87</w:t>
            </w:r>
          </w:p>
        </w:tc>
      </w:tr>
      <w:tr w:rsidR="00B62C34">
        <w:tc>
          <w:tcPr>
            <w:tcW w:w="2551" w:type="dxa"/>
          </w:tcPr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 xml:space="preserve">0700 </w:t>
            </w:r>
          </w:p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Образование</w:t>
            </w:r>
          </w:p>
        </w:tc>
        <w:tc>
          <w:tcPr>
            <w:tcW w:w="1772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26 250,00</w:t>
            </w:r>
          </w:p>
        </w:tc>
        <w:tc>
          <w:tcPr>
            <w:tcW w:w="1776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26 250,00</w:t>
            </w:r>
          </w:p>
        </w:tc>
        <w:tc>
          <w:tcPr>
            <w:tcW w:w="1712" w:type="dxa"/>
          </w:tcPr>
          <w:p w:rsidR="00B62C34" w:rsidRDefault="001550C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0,08</w:t>
            </w:r>
          </w:p>
        </w:tc>
        <w:tc>
          <w:tcPr>
            <w:tcW w:w="1759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B62C34">
        <w:tc>
          <w:tcPr>
            <w:tcW w:w="2551" w:type="dxa"/>
          </w:tcPr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0800</w:t>
            </w:r>
          </w:p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Культура, кинематография</w:t>
            </w:r>
          </w:p>
        </w:tc>
        <w:tc>
          <w:tcPr>
            <w:tcW w:w="1772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136 200,</w:t>
            </w:r>
            <w:r w:rsidR="001550CF">
              <w:rPr>
                <w:vertAlign w:val="superscript"/>
              </w:rPr>
              <w:t>68</w:t>
            </w:r>
          </w:p>
        </w:tc>
        <w:tc>
          <w:tcPr>
            <w:tcW w:w="1776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136 200,</w:t>
            </w:r>
            <w:r w:rsidR="001550CF">
              <w:rPr>
                <w:vertAlign w:val="superscript"/>
              </w:rPr>
              <w:t>68</w:t>
            </w:r>
          </w:p>
        </w:tc>
        <w:tc>
          <w:tcPr>
            <w:tcW w:w="1712" w:type="dxa"/>
          </w:tcPr>
          <w:p w:rsidR="00B62C34" w:rsidRDefault="001550C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0,4</w:t>
            </w:r>
            <w:r w:rsidR="007C26C1">
              <w:rPr>
                <w:vertAlign w:val="superscript"/>
              </w:rPr>
              <w:t>2</w:t>
            </w:r>
          </w:p>
        </w:tc>
        <w:tc>
          <w:tcPr>
            <w:tcW w:w="1759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B62C34">
        <w:tc>
          <w:tcPr>
            <w:tcW w:w="2551" w:type="dxa"/>
          </w:tcPr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1000</w:t>
            </w:r>
          </w:p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Социальная политика</w:t>
            </w:r>
          </w:p>
        </w:tc>
        <w:tc>
          <w:tcPr>
            <w:tcW w:w="1772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1 429 483,46</w:t>
            </w:r>
          </w:p>
        </w:tc>
        <w:tc>
          <w:tcPr>
            <w:tcW w:w="1776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1 429 483,46</w:t>
            </w:r>
          </w:p>
        </w:tc>
        <w:tc>
          <w:tcPr>
            <w:tcW w:w="1712" w:type="dxa"/>
          </w:tcPr>
          <w:p w:rsidR="00B62C34" w:rsidRDefault="001550C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4,34</w:t>
            </w:r>
          </w:p>
        </w:tc>
        <w:tc>
          <w:tcPr>
            <w:tcW w:w="1759" w:type="dxa"/>
          </w:tcPr>
          <w:p w:rsidR="00B62C34" w:rsidRDefault="00B80FA9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B62C34">
        <w:tc>
          <w:tcPr>
            <w:tcW w:w="2551" w:type="dxa"/>
          </w:tcPr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1100</w:t>
            </w:r>
          </w:p>
          <w:p w:rsidR="00B62C34" w:rsidRDefault="00650BF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Физическая культура и спорт</w:t>
            </w:r>
          </w:p>
        </w:tc>
        <w:tc>
          <w:tcPr>
            <w:tcW w:w="1772" w:type="dxa"/>
          </w:tcPr>
          <w:p w:rsidR="00B62C34" w:rsidRDefault="001550C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349 978,31</w:t>
            </w:r>
          </w:p>
        </w:tc>
        <w:tc>
          <w:tcPr>
            <w:tcW w:w="1776" w:type="dxa"/>
          </w:tcPr>
          <w:p w:rsidR="00B62C34" w:rsidRDefault="001550C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324 278,31</w:t>
            </w:r>
          </w:p>
        </w:tc>
        <w:tc>
          <w:tcPr>
            <w:tcW w:w="1712" w:type="dxa"/>
          </w:tcPr>
          <w:p w:rsidR="00B62C34" w:rsidRDefault="001550CF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0,99</w:t>
            </w:r>
          </w:p>
        </w:tc>
        <w:tc>
          <w:tcPr>
            <w:tcW w:w="1759" w:type="dxa"/>
          </w:tcPr>
          <w:p w:rsidR="00B62C34" w:rsidRDefault="007C26C1">
            <w:pPr>
              <w:widowControl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92,66</w:t>
            </w:r>
          </w:p>
        </w:tc>
      </w:tr>
      <w:tr w:rsidR="00B62C34">
        <w:tc>
          <w:tcPr>
            <w:tcW w:w="2551" w:type="dxa"/>
          </w:tcPr>
          <w:p w:rsidR="00B62C34" w:rsidRDefault="00650BFF">
            <w:pPr>
              <w:widowControl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Итого</w:t>
            </w:r>
          </w:p>
        </w:tc>
        <w:tc>
          <w:tcPr>
            <w:tcW w:w="1772" w:type="dxa"/>
          </w:tcPr>
          <w:p w:rsidR="00B62C34" w:rsidRDefault="00B80FA9">
            <w:pPr>
              <w:widowControl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34 662 091,21</w:t>
            </w:r>
          </w:p>
        </w:tc>
        <w:tc>
          <w:tcPr>
            <w:tcW w:w="1776" w:type="dxa"/>
          </w:tcPr>
          <w:p w:rsidR="00B62C34" w:rsidRDefault="00B80FA9">
            <w:pPr>
              <w:widowControl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32 862 713,66</w:t>
            </w:r>
          </w:p>
        </w:tc>
        <w:tc>
          <w:tcPr>
            <w:tcW w:w="1712" w:type="dxa"/>
          </w:tcPr>
          <w:p w:rsidR="00B62C34" w:rsidRDefault="001550CF">
            <w:pPr>
              <w:widowControl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100,00</w:t>
            </w:r>
          </w:p>
        </w:tc>
        <w:tc>
          <w:tcPr>
            <w:tcW w:w="1759" w:type="dxa"/>
          </w:tcPr>
          <w:p w:rsidR="00B62C34" w:rsidRDefault="007C26C1">
            <w:pPr>
              <w:widowControl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94,81</w:t>
            </w:r>
          </w:p>
        </w:tc>
      </w:tr>
    </w:tbl>
    <w:p w:rsidR="00B62C34" w:rsidRDefault="00650BFF" w:rsidP="004761B2">
      <w:pPr>
        <w:widowControl w:val="0"/>
        <w:ind w:firstLine="709"/>
        <w:jc w:val="both"/>
      </w:pPr>
      <w:r>
        <w:t>Расходная часть бюджета поселения за 202</w:t>
      </w:r>
      <w:r w:rsidR="002A0250">
        <w:t>2</w:t>
      </w:r>
      <w:r>
        <w:t xml:space="preserve"> год исполнена на 94,</w:t>
      </w:r>
      <w:r w:rsidR="002A0250">
        <w:t>81</w:t>
      </w:r>
      <w:r>
        <w:t>% к уточненному плану.</w:t>
      </w:r>
    </w:p>
    <w:p w:rsidR="00B62C34" w:rsidRDefault="00650BFF" w:rsidP="004761B2">
      <w:pPr>
        <w:widowControl w:val="0"/>
        <w:ind w:firstLine="709"/>
        <w:jc w:val="both"/>
      </w:pPr>
      <w:bookmarkStart w:id="4" w:name="OLE_LINK6"/>
      <w:bookmarkStart w:id="5" w:name="OLE_LINK5"/>
      <w:r>
        <w:t xml:space="preserve">Основная  доля расходов бюджета поселения приходится на разделы </w:t>
      </w:r>
      <w:bookmarkStart w:id="6" w:name="OLE_LINK9"/>
      <w:bookmarkStart w:id="7" w:name="OLE_LINK10"/>
      <w:r w:rsidR="006A74DD">
        <w:t xml:space="preserve">«Общегосударственные вопросы» </w:t>
      </w:r>
      <w:bookmarkEnd w:id="6"/>
      <w:bookmarkEnd w:id="7"/>
      <w:r w:rsidR="006A74DD">
        <w:t>49,77%,</w:t>
      </w:r>
      <w:r>
        <w:t xml:space="preserve"> </w:t>
      </w:r>
      <w:bookmarkStart w:id="8" w:name="OLE_LINK11"/>
      <w:bookmarkStart w:id="9" w:name="OLE_LINK12"/>
      <w:r w:rsidR="006A74DD">
        <w:t>«Жилищно-коммунальное хозяйство»-</w:t>
      </w:r>
      <w:bookmarkEnd w:id="8"/>
      <w:bookmarkEnd w:id="9"/>
      <w:r w:rsidR="006A74DD">
        <w:t xml:space="preserve">26,40%, </w:t>
      </w:r>
      <w:r>
        <w:t>«Национальная экономика»-</w:t>
      </w:r>
      <w:r w:rsidR="006A74DD">
        <w:t>15,98</w:t>
      </w:r>
      <w:r>
        <w:t>%</w:t>
      </w:r>
      <w:bookmarkEnd w:id="4"/>
      <w:bookmarkEnd w:id="5"/>
      <w:r w:rsidR="006A74DD">
        <w:t>.</w:t>
      </w:r>
    </w:p>
    <w:p w:rsidR="00B62C34" w:rsidRDefault="00650BFF" w:rsidP="000F1DFC">
      <w:pPr>
        <w:widowControl w:val="0"/>
        <w:ind w:firstLine="709"/>
        <w:jc w:val="both"/>
      </w:pPr>
      <w:r>
        <w:rPr>
          <w:rFonts w:eastAsia="Calibri"/>
        </w:rPr>
        <w:t>Плановые назначения в 202</w:t>
      </w:r>
      <w:r w:rsidR="000F1DFC">
        <w:rPr>
          <w:rFonts w:eastAsia="Calibri"/>
        </w:rPr>
        <w:t>2</w:t>
      </w:r>
      <w:r>
        <w:rPr>
          <w:rFonts w:eastAsia="Calibri"/>
        </w:rPr>
        <w:t xml:space="preserve"> году  </w:t>
      </w:r>
      <w:r w:rsidR="006A74DD">
        <w:rPr>
          <w:rFonts w:eastAsia="Calibri"/>
        </w:rPr>
        <w:t xml:space="preserve">не </w:t>
      </w:r>
      <w:r>
        <w:rPr>
          <w:rFonts w:eastAsia="Calibri"/>
        </w:rPr>
        <w:t xml:space="preserve">выполнены по разделу бюджетной классификации </w:t>
      </w:r>
      <w:r w:rsidR="006A74DD">
        <w:t>«Общегосударственные вопросы» на 9,70%</w:t>
      </w:r>
      <w:r w:rsidR="004761B2">
        <w:t>;</w:t>
      </w:r>
      <w:r w:rsidR="006A74DD">
        <w:t xml:space="preserve"> </w:t>
      </w:r>
      <w:r>
        <w:rPr>
          <w:rFonts w:eastAsia="Calibri"/>
        </w:rPr>
        <w:t>«</w:t>
      </w:r>
      <w:r>
        <w:t>Национальная экономика</w:t>
      </w:r>
      <w:r w:rsidR="004761B2">
        <w:t>» 0,10</w:t>
      </w:r>
      <w:r>
        <w:t>%</w:t>
      </w:r>
      <w:r w:rsidR="004761B2">
        <w:t>; «Жилищно-коммунальное хозяйство» на 0,13%; «Физическая культура и спорт»7,34%</w:t>
      </w:r>
      <w:r>
        <w:t>. По данным (ф.0503164) причины отклонений</w:t>
      </w:r>
      <w:r w:rsidR="004761B2">
        <w:t xml:space="preserve"> в результате сложившейся экономии по результатам проведения электронного аукциона, оплаты работ по «факту» на основании актов выполненных работ, отсутствии нормативных документов, определяющих порядок выделения и (или) использования средств бюджета.</w:t>
      </w:r>
    </w:p>
    <w:p w:rsidR="008A42F4" w:rsidRDefault="008A42F4" w:rsidP="000F1DFC">
      <w:pPr>
        <w:widowControl w:val="0"/>
        <w:ind w:firstLine="709"/>
        <w:jc w:val="both"/>
      </w:pPr>
      <w:r>
        <w:t>Подробное исполнение бюджета отражено в Пояснительной записке к годовому отчету.</w:t>
      </w:r>
    </w:p>
    <w:p w:rsidR="00510A0D" w:rsidRDefault="008A42F4" w:rsidP="000F1DFC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>Исполнение</w:t>
      </w:r>
      <w:r w:rsidR="00510A0D">
        <w:rPr>
          <w:rFonts w:eastAsia="Calibri"/>
        </w:rPr>
        <w:t xml:space="preserve"> бюджета в отчетном году </w:t>
      </w:r>
      <w:r w:rsidR="000F1DFC">
        <w:rPr>
          <w:rFonts w:eastAsia="Calibri"/>
        </w:rPr>
        <w:t xml:space="preserve">произведено </w:t>
      </w:r>
      <w:r w:rsidR="00510A0D">
        <w:rPr>
          <w:rFonts w:eastAsia="Calibri"/>
        </w:rPr>
        <w:t xml:space="preserve">в следующих </w:t>
      </w:r>
      <w:r>
        <w:rPr>
          <w:rFonts w:eastAsia="Calibri"/>
        </w:rPr>
        <w:t xml:space="preserve">основных </w:t>
      </w:r>
      <w:r w:rsidR="00510A0D">
        <w:rPr>
          <w:rFonts w:eastAsia="Calibri"/>
        </w:rPr>
        <w:t>направлениях:</w:t>
      </w:r>
    </w:p>
    <w:p w:rsidR="00510A0D" w:rsidRDefault="00510A0D" w:rsidP="000F1DFC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>-оплата труда и начислений на выплаты по оплате труда 12 726 161,60 рублей или 38,73% бюджета поселения;</w:t>
      </w:r>
    </w:p>
    <w:p w:rsidR="00510A0D" w:rsidRDefault="00510A0D" w:rsidP="000F1DFC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>-оплата работ, услуг 13 073 683,79 рублей или 39,78%;</w:t>
      </w:r>
    </w:p>
    <w:p w:rsidR="00510A0D" w:rsidRDefault="00510A0D" w:rsidP="000F1DFC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>- социальное обеспечение 1 490 695,27 рублей 4,54%;</w:t>
      </w:r>
    </w:p>
    <w:p w:rsidR="00510A0D" w:rsidRDefault="00510A0D" w:rsidP="000F1DFC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>-приобретения товаров, материальных запасов 2 761 713,20 рублей или 8,40%.</w:t>
      </w:r>
    </w:p>
    <w:p w:rsidR="000D5447" w:rsidRPr="000F1DFC" w:rsidRDefault="00510A0D" w:rsidP="000F1DFC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Исполнение бюджета поселения производилось в с</w:t>
      </w:r>
      <w:r w:rsidR="000D5447">
        <w:rPr>
          <w:rFonts w:eastAsia="Calibri"/>
        </w:rPr>
        <w:t xml:space="preserve">труктуре муниципальных </w:t>
      </w:r>
      <w:r w:rsidR="000D5447" w:rsidRPr="000F1DFC">
        <w:rPr>
          <w:rFonts w:eastAsia="Calibri"/>
        </w:rPr>
        <w:t>программ</w:t>
      </w:r>
      <w:r w:rsidR="000F1DFC">
        <w:rPr>
          <w:rFonts w:eastAsia="Calibri"/>
        </w:rPr>
        <w:t xml:space="preserve">  и </w:t>
      </w:r>
      <w:proofErr w:type="spellStart"/>
      <w:r w:rsidR="000F1DFC">
        <w:rPr>
          <w:rFonts w:eastAsia="Calibri"/>
        </w:rPr>
        <w:t>непрограммных</w:t>
      </w:r>
      <w:proofErr w:type="spellEnd"/>
      <w:r w:rsidR="000F1DFC">
        <w:rPr>
          <w:rFonts w:eastAsia="Calibri"/>
        </w:rPr>
        <w:t xml:space="preserve"> расходов</w:t>
      </w:r>
      <w:r w:rsidR="000D5447" w:rsidRPr="000F1DFC">
        <w:rPr>
          <w:rFonts w:eastAsia="Calibri"/>
        </w:rPr>
        <w:t>:</w:t>
      </w:r>
    </w:p>
    <w:p w:rsidR="000D5447" w:rsidRPr="000F1DFC" w:rsidRDefault="000D5447" w:rsidP="000F1DFC">
      <w:pPr>
        <w:pStyle w:val="af"/>
        <w:spacing w:beforeAutospacing="0" w:afterAutospacing="0"/>
        <w:ind w:firstLine="709"/>
        <w:jc w:val="both"/>
        <w:rPr>
          <w:color w:val="000000"/>
        </w:rPr>
      </w:pPr>
      <w:r w:rsidRPr="000F1DFC">
        <w:rPr>
          <w:color w:val="000000"/>
        </w:rPr>
        <w:t>-</w:t>
      </w:r>
      <w:r w:rsidRPr="000D5447">
        <w:rPr>
          <w:color w:val="000000"/>
        </w:rPr>
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</w:r>
      <w:r w:rsidRPr="000F1DFC">
        <w:rPr>
          <w:color w:val="000000"/>
        </w:rPr>
        <w:t xml:space="preserve">  в объеме 599 244,85 рублей, </w:t>
      </w:r>
    </w:p>
    <w:p w:rsidR="000D5447" w:rsidRPr="000F1DFC" w:rsidRDefault="000D5447" w:rsidP="000F1DFC">
      <w:pPr>
        <w:pStyle w:val="af"/>
        <w:spacing w:beforeAutospacing="0" w:afterAutospacing="0"/>
        <w:ind w:firstLine="709"/>
        <w:jc w:val="both"/>
        <w:rPr>
          <w:color w:val="000000"/>
        </w:rPr>
      </w:pPr>
      <w:r w:rsidRPr="000F1DFC">
        <w:rPr>
          <w:color w:val="000000"/>
        </w:rPr>
        <w:t xml:space="preserve">-Муниципальная программа Полтавского городского поселения «Социально-экономическое развитие Полтавского городского поселения» в объеме 27 937 431,01 рублей, </w:t>
      </w:r>
    </w:p>
    <w:p w:rsidR="000D5447" w:rsidRPr="000F1DFC" w:rsidRDefault="000D5447" w:rsidP="000F1DFC">
      <w:pPr>
        <w:pStyle w:val="af"/>
        <w:spacing w:beforeAutospacing="0" w:afterAutospacing="0"/>
        <w:ind w:firstLine="709"/>
        <w:jc w:val="both"/>
        <w:rPr>
          <w:color w:val="000000"/>
        </w:rPr>
      </w:pPr>
      <w:r w:rsidRPr="000F1DFC">
        <w:rPr>
          <w:color w:val="000000"/>
        </w:rPr>
        <w:lastRenderedPageBreak/>
        <w:t>-</w:t>
      </w:r>
      <w:r w:rsidRPr="000F1DFC">
        <w:t xml:space="preserve"> </w:t>
      </w:r>
      <w:r w:rsidRPr="000F1DFC">
        <w:rPr>
          <w:color w:val="000000"/>
        </w:rPr>
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области" в 3 435 037,80</w:t>
      </w:r>
      <w:r w:rsidR="00F9380D">
        <w:rPr>
          <w:color w:val="000000"/>
        </w:rPr>
        <w:t xml:space="preserve"> рублей</w:t>
      </w:r>
      <w:r w:rsidRPr="000F1DFC">
        <w:rPr>
          <w:color w:val="000000"/>
        </w:rPr>
        <w:t>;</w:t>
      </w:r>
    </w:p>
    <w:p w:rsidR="000F1DFC" w:rsidRPr="000F1DFC" w:rsidRDefault="000D5447" w:rsidP="000F1DFC">
      <w:pPr>
        <w:pStyle w:val="af"/>
        <w:spacing w:beforeAutospacing="0" w:afterAutospacing="0"/>
        <w:ind w:firstLine="709"/>
        <w:jc w:val="both"/>
        <w:rPr>
          <w:color w:val="000000"/>
        </w:rPr>
      </w:pPr>
      <w:r w:rsidRPr="000F1DFC">
        <w:rPr>
          <w:color w:val="000000"/>
        </w:rPr>
        <w:t>-</w:t>
      </w:r>
      <w:proofErr w:type="spellStart"/>
      <w:r w:rsidRPr="000F1DFC">
        <w:rPr>
          <w:color w:val="000000"/>
        </w:rPr>
        <w:t>Непрограммные</w:t>
      </w:r>
      <w:proofErr w:type="spellEnd"/>
      <w:r w:rsidRPr="000F1DFC">
        <w:rPr>
          <w:color w:val="000000"/>
        </w:rPr>
        <w:t xml:space="preserve"> расходы  (Возмещение убытков по баням)</w:t>
      </w:r>
      <w:r w:rsidR="000F1DFC" w:rsidRPr="000F1DFC">
        <w:rPr>
          <w:color w:val="000000"/>
        </w:rPr>
        <w:t xml:space="preserve"> в объеме 891 000,00 рублей.</w:t>
      </w:r>
    </w:p>
    <w:p w:rsidR="000D5447" w:rsidRPr="000D5447" w:rsidRDefault="000F1DFC" w:rsidP="0036332C">
      <w:pPr>
        <w:pStyle w:val="af"/>
        <w:spacing w:beforeAutospacing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Муниципальные программы занимают долю 97,29% в структуре расходов бюджета, исполнение которых обеспечено на уровне 94,67% плановых значений. </w:t>
      </w:r>
    </w:p>
    <w:p w:rsidR="00902CC8" w:rsidRDefault="00902CC8" w:rsidP="00902CC8">
      <w:pPr>
        <w:widowControl w:val="0"/>
        <w:ind w:firstLine="709"/>
        <w:jc w:val="both"/>
      </w:pPr>
      <w:bookmarkStart w:id="10" w:name="OLE_LINK13"/>
      <w:bookmarkStart w:id="11" w:name="OLE_LINK14"/>
      <w:r>
        <w:t>Расходы поселения произведены в соответствии с полномочиями решения вопросов местного значения</w:t>
      </w:r>
      <w:bookmarkEnd w:id="10"/>
      <w:bookmarkEnd w:id="11"/>
      <w:r>
        <w:t>.</w:t>
      </w:r>
    </w:p>
    <w:p w:rsidR="00B62C34" w:rsidRDefault="00510A0D">
      <w:pPr>
        <w:widowControl w:val="0"/>
        <w:ind w:right="-1"/>
        <w:jc w:val="both"/>
        <w:rPr>
          <w:rFonts w:eastAsia="Calibri"/>
        </w:rPr>
      </w:pPr>
      <w:r>
        <w:rPr>
          <w:rFonts w:eastAsia="Calibri"/>
        </w:rPr>
        <w:t xml:space="preserve">   </w:t>
      </w:r>
    </w:p>
    <w:p w:rsidR="00B62C34" w:rsidRDefault="00650BFF">
      <w:pPr>
        <w:widowControl w:val="0"/>
        <w:ind w:right="-1"/>
        <w:jc w:val="center"/>
        <w:rPr>
          <w:rFonts w:eastAsia="Calibri"/>
          <w:b/>
        </w:rPr>
      </w:pPr>
      <w:r>
        <w:rPr>
          <w:rFonts w:eastAsia="Calibri"/>
          <w:b/>
        </w:rPr>
        <w:t>6.Источики внутреннего финансирования дефицита бюджета поселения.</w:t>
      </w:r>
    </w:p>
    <w:p w:rsidR="00B62C34" w:rsidRDefault="00650BFF" w:rsidP="00AA1B0C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решени</w:t>
      </w:r>
      <w:r w:rsidR="00AA1B0C">
        <w:rPr>
          <w:rFonts w:eastAsia="Calibri"/>
        </w:rPr>
        <w:t>ем</w:t>
      </w:r>
      <w:r>
        <w:rPr>
          <w:rFonts w:eastAsia="Calibri"/>
        </w:rPr>
        <w:t xml:space="preserve"> Совета депутатов </w:t>
      </w:r>
      <w:r>
        <w:rPr>
          <w:color w:val="333333"/>
        </w:rPr>
        <w:t>Полтавского городского</w:t>
      </w:r>
      <w:r>
        <w:rPr>
          <w:rFonts w:eastAsia="Calibri"/>
        </w:rPr>
        <w:t xml:space="preserve"> поселения  от 30.11.202</w:t>
      </w:r>
      <w:r w:rsidR="00902CC8">
        <w:rPr>
          <w:rFonts w:eastAsia="Calibri"/>
        </w:rPr>
        <w:t>1</w:t>
      </w:r>
      <w:r>
        <w:rPr>
          <w:rFonts w:eastAsia="Calibri"/>
        </w:rPr>
        <w:t xml:space="preserve"> № 8</w:t>
      </w:r>
      <w:r w:rsidR="00902CC8">
        <w:rPr>
          <w:rFonts w:eastAsia="Calibri"/>
        </w:rPr>
        <w:t>1</w:t>
      </w:r>
      <w:r>
        <w:rPr>
          <w:rFonts w:eastAsia="Calibri"/>
        </w:rPr>
        <w:t xml:space="preserve"> (в редакции от 29.12.202</w:t>
      </w:r>
      <w:r w:rsidR="00902CC8">
        <w:rPr>
          <w:rFonts w:eastAsia="Calibri"/>
        </w:rPr>
        <w:t>2 №</w:t>
      </w:r>
      <w:r>
        <w:rPr>
          <w:rFonts w:eastAsia="Calibri"/>
        </w:rPr>
        <w:t>7</w:t>
      </w:r>
      <w:r w:rsidR="00902CC8">
        <w:rPr>
          <w:rFonts w:eastAsia="Calibri"/>
        </w:rPr>
        <w:t>3</w:t>
      </w:r>
      <w:r>
        <w:rPr>
          <w:rFonts w:eastAsia="Calibri"/>
        </w:rPr>
        <w:t xml:space="preserve">) главным администратором источников внутреннего финансирования дефицита бюджета утверждена Администрация </w:t>
      </w:r>
      <w:r>
        <w:rPr>
          <w:color w:val="333333"/>
        </w:rPr>
        <w:t>Полтавского городского</w:t>
      </w:r>
      <w:r w:rsidR="00AA1B0C">
        <w:rPr>
          <w:color w:val="333333"/>
        </w:rPr>
        <w:t xml:space="preserve"> </w:t>
      </w:r>
      <w:r>
        <w:rPr>
          <w:rFonts w:eastAsia="Calibri"/>
        </w:rPr>
        <w:t xml:space="preserve">поселения. </w:t>
      </w:r>
    </w:p>
    <w:p w:rsidR="00B62C34" w:rsidRDefault="00650BFF" w:rsidP="00AA1B0C">
      <w:pPr>
        <w:widowControl w:val="0"/>
        <w:ind w:firstLine="709"/>
        <w:jc w:val="both"/>
        <w:rPr>
          <w:rFonts w:eastAsia="Calibri"/>
          <w:color w:val="FF0000"/>
        </w:rPr>
      </w:pPr>
      <w:r>
        <w:rPr>
          <w:rFonts w:eastAsia="Calibri"/>
        </w:rPr>
        <w:t>Первоначально бюджет поселения на 202</w:t>
      </w:r>
      <w:r w:rsidR="00AA1B0C">
        <w:rPr>
          <w:rFonts w:eastAsia="Calibri"/>
        </w:rPr>
        <w:t>2</w:t>
      </w:r>
      <w:r>
        <w:rPr>
          <w:rFonts w:eastAsia="Calibri"/>
        </w:rPr>
        <w:t xml:space="preserve"> год был утвержден сбалансированным по доходам и расходам.</w:t>
      </w:r>
    </w:p>
    <w:p w:rsidR="00B62C34" w:rsidRDefault="00650BFF" w:rsidP="00AA1B0C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Уточненным бюджетом  поселения  утвержден прогнозируемый дефицит бюджета </w:t>
      </w:r>
      <w:r>
        <w:rPr>
          <w:color w:val="333333"/>
        </w:rPr>
        <w:t>Полтавского городского</w:t>
      </w:r>
      <w:r w:rsidR="00AA1B0C">
        <w:rPr>
          <w:color w:val="333333"/>
        </w:rPr>
        <w:t xml:space="preserve"> </w:t>
      </w:r>
      <w:r>
        <w:rPr>
          <w:rFonts w:eastAsia="Calibri"/>
        </w:rPr>
        <w:t>поселения  на 202</w:t>
      </w:r>
      <w:r w:rsidR="00AA1B0C">
        <w:rPr>
          <w:rFonts w:eastAsia="Calibri"/>
        </w:rPr>
        <w:t>2</w:t>
      </w:r>
      <w:r>
        <w:rPr>
          <w:rFonts w:eastAsia="Calibri"/>
        </w:rPr>
        <w:t xml:space="preserve"> год в сумме </w:t>
      </w:r>
      <w:r w:rsidR="00AA1B0C">
        <w:rPr>
          <w:rFonts w:eastAsia="Calibri"/>
        </w:rPr>
        <w:t>664 997,04</w:t>
      </w:r>
      <w:r>
        <w:rPr>
          <w:rFonts w:eastAsia="Calibri"/>
        </w:rPr>
        <w:t xml:space="preserve"> рублей.</w:t>
      </w:r>
    </w:p>
    <w:p w:rsidR="00B62C34" w:rsidRDefault="00650BFF" w:rsidP="00AA1B0C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>По данным отчета об исполнении бюджета (ф.0503117) в 202</w:t>
      </w:r>
      <w:r w:rsidR="00AA1B0C">
        <w:rPr>
          <w:rFonts w:eastAsia="Calibri"/>
        </w:rPr>
        <w:t>2</w:t>
      </w:r>
      <w:r>
        <w:rPr>
          <w:rFonts w:eastAsia="Calibri"/>
        </w:rPr>
        <w:t xml:space="preserve"> году бюджет поселения исполнен с </w:t>
      </w:r>
      <w:proofErr w:type="spellStart"/>
      <w:r>
        <w:rPr>
          <w:rFonts w:eastAsia="Calibri"/>
        </w:rPr>
        <w:t>профицитом</w:t>
      </w:r>
      <w:proofErr w:type="spellEnd"/>
      <w:r>
        <w:rPr>
          <w:rFonts w:eastAsia="Calibri"/>
        </w:rPr>
        <w:t xml:space="preserve"> в сумме </w:t>
      </w:r>
      <w:r w:rsidR="00AA1B0C">
        <w:rPr>
          <w:rFonts w:eastAsia="Calibri"/>
        </w:rPr>
        <w:t>777 059,61</w:t>
      </w:r>
      <w:r>
        <w:rPr>
          <w:rFonts w:eastAsia="Calibri"/>
        </w:rPr>
        <w:t xml:space="preserve">  рублей, который направлен на увеличение остатков средств на счетах по учету средств местного бюджета. </w:t>
      </w:r>
    </w:p>
    <w:p w:rsidR="00B62C34" w:rsidRDefault="00650BFF" w:rsidP="00AA1B0C">
      <w:pPr>
        <w:ind w:firstLine="709"/>
        <w:jc w:val="both"/>
      </w:pPr>
      <w:r>
        <w:t>Муниципальный внутренний долг бюджета поселения по состоянию на  01.01.202</w:t>
      </w:r>
      <w:r w:rsidR="00AA1B0C">
        <w:t>3</w:t>
      </w:r>
      <w:r>
        <w:t xml:space="preserve"> года отсутствовал.</w:t>
      </w:r>
    </w:p>
    <w:p w:rsidR="00B62C34" w:rsidRDefault="00650BFF" w:rsidP="00AA1B0C">
      <w:pPr>
        <w:ind w:firstLine="709"/>
        <w:jc w:val="both"/>
      </w:pPr>
      <w:r>
        <w:t>Администрацией поселения в 202</w:t>
      </w:r>
      <w:r w:rsidR="00AA1B0C">
        <w:t>2</w:t>
      </w:r>
      <w:r>
        <w:t xml:space="preserve"> году муниципальные гарантии предприятиям и организациям не представлялись.</w:t>
      </w:r>
    </w:p>
    <w:p w:rsidR="00B62C34" w:rsidRDefault="00B62C34">
      <w:pPr>
        <w:widowControl w:val="0"/>
        <w:ind w:right="-1"/>
        <w:jc w:val="both"/>
        <w:rPr>
          <w:rFonts w:eastAsia="Calibri"/>
        </w:rPr>
      </w:pPr>
    </w:p>
    <w:p w:rsidR="00B62C34" w:rsidRDefault="00650BFF">
      <w:pPr>
        <w:jc w:val="center"/>
        <w:rPr>
          <w:b/>
        </w:rPr>
      </w:pPr>
      <w:r>
        <w:rPr>
          <w:b/>
        </w:rPr>
        <w:t>7.</w:t>
      </w:r>
      <w:r w:rsidR="001A7CEA">
        <w:rPr>
          <w:b/>
        </w:rPr>
        <w:t>Р</w:t>
      </w:r>
      <w:r>
        <w:rPr>
          <w:b/>
        </w:rPr>
        <w:t>езервн</w:t>
      </w:r>
      <w:r w:rsidR="001A7CEA">
        <w:rPr>
          <w:b/>
        </w:rPr>
        <w:t>ый</w:t>
      </w:r>
      <w:r>
        <w:rPr>
          <w:b/>
        </w:rPr>
        <w:t xml:space="preserve"> фонд </w:t>
      </w:r>
      <w:r w:rsidR="001A7CEA">
        <w:rPr>
          <w:b/>
        </w:rPr>
        <w:t xml:space="preserve">бюджета Полтавского </w:t>
      </w:r>
      <w:r>
        <w:rPr>
          <w:b/>
        </w:rPr>
        <w:t xml:space="preserve"> городского поселения.</w:t>
      </w:r>
    </w:p>
    <w:p w:rsidR="00B62C34" w:rsidRDefault="00650BFF" w:rsidP="00AA1B0C">
      <w:pPr>
        <w:ind w:firstLine="709"/>
        <w:jc w:val="both"/>
      </w:pPr>
      <w:r>
        <w:t>Решением Совета депутатов от 30.11.202</w:t>
      </w:r>
      <w:r w:rsidR="00AA1B0C">
        <w:t>1</w:t>
      </w:r>
      <w:r>
        <w:t xml:space="preserve"> № 8</w:t>
      </w:r>
      <w:r w:rsidR="00AA1B0C">
        <w:t>1</w:t>
      </w:r>
      <w:r>
        <w:t xml:space="preserve"> резервный фонд администрации поселения  на 202</w:t>
      </w:r>
      <w:r w:rsidR="00AA1B0C">
        <w:t>2</w:t>
      </w:r>
      <w:r>
        <w:t xml:space="preserve"> год предусмотрен в сумме 40 000,00 рублей, что не превышает норматив, установленный ст. 81 БК РФ (3% от утвержденного объема расходов).  </w:t>
      </w:r>
    </w:p>
    <w:p w:rsidR="00B62C34" w:rsidRDefault="00650BFF" w:rsidP="00AA1B0C">
      <w:pPr>
        <w:ind w:firstLine="709"/>
        <w:jc w:val="both"/>
      </w:pPr>
      <w:r>
        <w:t>Согласно отчета об использовании бюджетных ассигнований резервного фонда выплаты в 202</w:t>
      </w:r>
      <w:r w:rsidR="00AA1B0C">
        <w:t>2</w:t>
      </w:r>
      <w:r>
        <w:t xml:space="preserve"> году   произведены согласно распоряжениям  администрации в виде материальной помощи  трем пострадавшим от пожара в общей сумме </w:t>
      </w:r>
      <w:r w:rsidR="00AA1B0C">
        <w:t>50</w:t>
      </w:r>
      <w:r>
        <w:t xml:space="preserve"> 000,00 рублей, выплаты произведены в рамках  </w:t>
      </w:r>
      <w:proofErr w:type="gramStart"/>
      <w:r>
        <w:t>Порядка расходования средств резервного фонда администрации</w:t>
      </w:r>
      <w:proofErr w:type="gramEnd"/>
      <w:r>
        <w:t xml:space="preserve">.   </w:t>
      </w:r>
    </w:p>
    <w:p w:rsidR="00B62C34" w:rsidRDefault="00B62C34">
      <w:pPr>
        <w:jc w:val="both"/>
      </w:pPr>
    </w:p>
    <w:p w:rsidR="00B62C34" w:rsidRDefault="00650BFF">
      <w:pPr>
        <w:jc w:val="center"/>
        <w:rPr>
          <w:b/>
        </w:rPr>
      </w:pPr>
      <w:r>
        <w:rPr>
          <w:b/>
        </w:rPr>
        <w:t>8.</w:t>
      </w:r>
      <w:r w:rsidR="001A7CEA">
        <w:rPr>
          <w:b/>
        </w:rPr>
        <w:t>Д</w:t>
      </w:r>
      <w:r>
        <w:rPr>
          <w:b/>
        </w:rPr>
        <w:t>орожн</w:t>
      </w:r>
      <w:r w:rsidR="001A7CEA">
        <w:rPr>
          <w:b/>
        </w:rPr>
        <w:t>ый фонд</w:t>
      </w:r>
      <w:r>
        <w:rPr>
          <w:b/>
        </w:rPr>
        <w:t xml:space="preserve"> бюджета </w:t>
      </w:r>
      <w:r>
        <w:rPr>
          <w:b/>
          <w:color w:val="333333"/>
        </w:rPr>
        <w:t xml:space="preserve">Полтавского городского </w:t>
      </w:r>
      <w:r>
        <w:rPr>
          <w:b/>
        </w:rPr>
        <w:t>поселения</w:t>
      </w:r>
    </w:p>
    <w:p w:rsidR="00B62C34" w:rsidRDefault="00650BFF" w:rsidP="00367CAB">
      <w:pPr>
        <w:pStyle w:val="ac"/>
        <w:widowControl w:val="0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Остаток средств дорожного фонда </w:t>
      </w:r>
      <w:r>
        <w:rPr>
          <w:rFonts w:ascii="Times New Roman" w:hAnsi="Times New Roman"/>
          <w:color w:val="333333"/>
          <w:sz w:val="24"/>
          <w:szCs w:val="24"/>
        </w:rPr>
        <w:t xml:space="preserve">Полтавского городского </w:t>
      </w:r>
      <w:r>
        <w:rPr>
          <w:rFonts w:ascii="Times New Roman" w:hAnsi="Times New Roman"/>
          <w:sz w:val="24"/>
          <w:szCs w:val="24"/>
        </w:rPr>
        <w:t>поселения на 01.01.202</w:t>
      </w:r>
      <w:r w:rsidR="00AA1B0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 составил 0,00 рублей.</w:t>
      </w:r>
    </w:p>
    <w:p w:rsidR="00B62C34" w:rsidRDefault="00650BFF" w:rsidP="00367CAB">
      <w:pPr>
        <w:pStyle w:val="ac"/>
        <w:widowControl w:val="0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Положением о Дорожном фонде в Полтавском городском поселении, дорожный фонд сформирован </w:t>
      </w:r>
      <w:r w:rsidR="00132E28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поступления акциз в сумме </w:t>
      </w:r>
      <w:r w:rsidR="00367CAB">
        <w:rPr>
          <w:rFonts w:ascii="Times New Roman" w:hAnsi="Times New Roman"/>
          <w:sz w:val="24"/>
          <w:szCs w:val="24"/>
        </w:rPr>
        <w:t>3 536 333,46</w:t>
      </w:r>
      <w:r>
        <w:rPr>
          <w:rFonts w:ascii="Times New Roman" w:hAnsi="Times New Roman"/>
          <w:sz w:val="24"/>
          <w:szCs w:val="24"/>
        </w:rPr>
        <w:t xml:space="preserve"> рублей, </w:t>
      </w:r>
      <w:r w:rsidR="00367CAB">
        <w:rPr>
          <w:rFonts w:ascii="Times New Roman" w:hAnsi="Times New Roman"/>
          <w:sz w:val="24"/>
          <w:szCs w:val="24"/>
        </w:rPr>
        <w:t>субсидии бюджету городских поселений на содержание автомобильных дорог общего пользования в сумме 958 514,13 рублей</w:t>
      </w:r>
      <w:r>
        <w:rPr>
          <w:rFonts w:ascii="Times New Roman" w:hAnsi="Times New Roman"/>
          <w:sz w:val="24"/>
          <w:szCs w:val="24"/>
        </w:rPr>
        <w:t xml:space="preserve">.  Общая сумма поступлений </w:t>
      </w:r>
      <w:r w:rsidR="002361F4">
        <w:rPr>
          <w:rFonts w:ascii="Times New Roman" w:hAnsi="Times New Roman"/>
          <w:sz w:val="24"/>
          <w:szCs w:val="24"/>
        </w:rPr>
        <w:t>4 494 847,59</w:t>
      </w:r>
      <w:r>
        <w:rPr>
          <w:rFonts w:ascii="Times New Roman" w:hAnsi="Times New Roman"/>
          <w:sz w:val="24"/>
          <w:szCs w:val="24"/>
        </w:rPr>
        <w:t>рублей.</w:t>
      </w:r>
    </w:p>
    <w:p w:rsidR="00B62C34" w:rsidRDefault="00650BFF" w:rsidP="00367CAB">
      <w:pPr>
        <w:pStyle w:val="ac"/>
        <w:widowControl w:val="0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дорожного фонда составили </w:t>
      </w:r>
      <w:r w:rsidR="002361F4">
        <w:rPr>
          <w:rFonts w:ascii="Times New Roman" w:hAnsi="Times New Roman"/>
          <w:sz w:val="24"/>
          <w:szCs w:val="24"/>
        </w:rPr>
        <w:t>4 239 893,29</w:t>
      </w:r>
      <w:r>
        <w:rPr>
          <w:rFonts w:ascii="Times New Roman" w:hAnsi="Times New Roman"/>
          <w:sz w:val="24"/>
          <w:szCs w:val="24"/>
        </w:rPr>
        <w:t xml:space="preserve"> рублей.</w:t>
      </w:r>
      <w:r w:rsidR="002361F4">
        <w:rPr>
          <w:rFonts w:ascii="Times New Roman" w:hAnsi="Times New Roman"/>
          <w:sz w:val="24"/>
          <w:szCs w:val="24"/>
        </w:rPr>
        <w:t xml:space="preserve"> Остаток средств доро</w:t>
      </w:r>
      <w:r w:rsidR="00132E28">
        <w:rPr>
          <w:rFonts w:ascii="Times New Roman" w:hAnsi="Times New Roman"/>
          <w:sz w:val="24"/>
          <w:szCs w:val="24"/>
        </w:rPr>
        <w:t>жного фонда на 01.01.2023г составил 254 954,30 рублей.</w:t>
      </w:r>
    </w:p>
    <w:p w:rsidR="00B62C34" w:rsidRDefault="00650BFF" w:rsidP="00367CAB">
      <w:pPr>
        <w:pStyle w:val="ac"/>
        <w:widowControl w:val="0"/>
        <w:spacing w:line="240" w:lineRule="auto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Средства дорожного фонда использованы в полном объеме по целевому назначению.</w:t>
      </w:r>
    </w:p>
    <w:p w:rsidR="00B62C34" w:rsidRDefault="00650BFF">
      <w:pPr>
        <w:jc w:val="center"/>
        <w:rPr>
          <w:b/>
        </w:rPr>
      </w:pPr>
      <w:r>
        <w:rPr>
          <w:b/>
        </w:rPr>
        <w:t>9.Результаты внешней проверки годовой бюджетной отчетности</w:t>
      </w:r>
      <w:r w:rsidR="00132E28">
        <w:rPr>
          <w:b/>
        </w:rPr>
        <w:t xml:space="preserve"> Администрации </w:t>
      </w:r>
      <w:r>
        <w:rPr>
          <w:b/>
        </w:rPr>
        <w:t xml:space="preserve"> </w:t>
      </w:r>
      <w:r>
        <w:rPr>
          <w:b/>
          <w:color w:val="333333"/>
        </w:rPr>
        <w:t>Полтавского городского</w:t>
      </w:r>
      <w:r w:rsidR="00132E28">
        <w:rPr>
          <w:b/>
          <w:color w:val="333333"/>
        </w:rPr>
        <w:t xml:space="preserve"> </w:t>
      </w:r>
      <w:r>
        <w:rPr>
          <w:b/>
        </w:rPr>
        <w:t>поселения.</w:t>
      </w:r>
    </w:p>
    <w:p w:rsidR="00B62C34" w:rsidRDefault="00650BFF">
      <w:pPr>
        <w:jc w:val="both"/>
        <w:rPr>
          <w:b/>
        </w:rPr>
      </w:pPr>
      <w:r>
        <w:lastRenderedPageBreak/>
        <w:t>Оценка достоверности, полноты и своевременности предоставления бюджетной отчетности в составе форм, предусмотренных Инструкцией №191н, осуществлялась путем анализа бюджетной отчетности  предоставленной главным администратор</w:t>
      </w:r>
      <w:r w:rsidR="00132E28">
        <w:t>о</w:t>
      </w:r>
      <w:r>
        <w:t>м доходов бюджета, администратор</w:t>
      </w:r>
      <w:r w:rsidR="00132E28">
        <w:t>ом</w:t>
      </w:r>
      <w:r>
        <w:t xml:space="preserve"> источника финансирования дефицита  бюджета, главного распорядителя, получателя бюджетных средств: Администрацией   </w:t>
      </w:r>
      <w:r>
        <w:rPr>
          <w:color w:val="333333"/>
        </w:rPr>
        <w:t>Полтавского городского</w:t>
      </w:r>
      <w:r>
        <w:t xml:space="preserve"> поселения.</w:t>
      </w:r>
    </w:p>
    <w:p w:rsidR="00B62C34" w:rsidRDefault="00650BFF">
      <w:pPr>
        <w:jc w:val="both"/>
      </w:pPr>
      <w:r>
        <w:t>По результатам внешней проверки бюджетной отчетности составлено Заключение № 1</w:t>
      </w:r>
      <w:r w:rsidR="00132E28">
        <w:t>5</w:t>
      </w:r>
      <w:r>
        <w:t xml:space="preserve"> от 1</w:t>
      </w:r>
      <w:r w:rsidR="00132E28">
        <w:t>9</w:t>
      </w:r>
      <w:r>
        <w:t>.04.202</w:t>
      </w:r>
      <w:r w:rsidR="00132E28">
        <w:t>3</w:t>
      </w:r>
      <w:r>
        <w:t xml:space="preserve"> г, в результате проверки</w:t>
      </w:r>
      <w:r w:rsidR="00132E28">
        <w:t xml:space="preserve"> выявлены</w:t>
      </w:r>
      <w:r>
        <w:t xml:space="preserve"> </w:t>
      </w:r>
      <w:proofErr w:type="gramStart"/>
      <w:r>
        <w:t>нарушения</w:t>
      </w:r>
      <w:proofErr w:type="gramEnd"/>
      <w:r>
        <w:t xml:space="preserve"> и расхождения </w:t>
      </w:r>
      <w:r w:rsidR="00132E28">
        <w:t>которые не повлияли на достоверность бюджетной отчетности</w:t>
      </w:r>
      <w:r>
        <w:t>.</w:t>
      </w:r>
    </w:p>
    <w:p w:rsidR="00B62C34" w:rsidRDefault="00B62C34">
      <w:pPr>
        <w:jc w:val="both"/>
      </w:pPr>
    </w:p>
    <w:p w:rsidR="00B62C34" w:rsidRDefault="00650BFF">
      <w:pPr>
        <w:ind w:firstLine="709"/>
        <w:jc w:val="center"/>
        <w:rPr>
          <w:b/>
        </w:rPr>
      </w:pPr>
      <w:r>
        <w:rPr>
          <w:b/>
        </w:rPr>
        <w:t>11.Выводы.</w:t>
      </w:r>
    </w:p>
    <w:p w:rsidR="00B62C34" w:rsidRDefault="00650BFF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Бюджет </w:t>
      </w:r>
      <w:r>
        <w:rPr>
          <w:rFonts w:ascii="Times New Roman" w:hAnsi="Times New Roman"/>
          <w:color w:val="333333"/>
          <w:sz w:val="24"/>
          <w:szCs w:val="24"/>
        </w:rPr>
        <w:t>Полтавского городского</w:t>
      </w:r>
      <w:r>
        <w:rPr>
          <w:rFonts w:ascii="Times New Roman" w:hAnsi="Times New Roman"/>
          <w:sz w:val="24"/>
          <w:szCs w:val="24"/>
        </w:rPr>
        <w:t xml:space="preserve"> поселения за 202</w:t>
      </w:r>
      <w:r w:rsidR="00132E2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 по доходам исполнен на 9</w:t>
      </w:r>
      <w:r w:rsidR="00132E2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,</w:t>
      </w:r>
      <w:r w:rsidR="00132E2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4 %  и составил </w:t>
      </w:r>
      <w:r w:rsidR="00132E28">
        <w:rPr>
          <w:rFonts w:ascii="Times New Roman" w:hAnsi="Times New Roman"/>
          <w:sz w:val="24"/>
          <w:szCs w:val="24"/>
        </w:rPr>
        <w:t>33 639 773,27</w:t>
      </w:r>
      <w:r>
        <w:rPr>
          <w:rFonts w:ascii="Times New Roman" w:hAnsi="Times New Roman"/>
          <w:sz w:val="24"/>
          <w:szCs w:val="24"/>
        </w:rPr>
        <w:t xml:space="preserve"> рублей. </w:t>
      </w:r>
    </w:p>
    <w:p w:rsidR="00B62C34" w:rsidRDefault="00650BFF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налоговых доходов бюджета поселения являются Налог на доходы физических лиц; в структуре неналоговых доходов наибольший удельный вес  занимают доходы от использования имущества находящегося в муниципальной собственности.</w:t>
      </w:r>
    </w:p>
    <w:p w:rsidR="00B62C34" w:rsidRDefault="00650BFF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Общая сумма недоимки в бюджет </w:t>
      </w:r>
      <w:r>
        <w:rPr>
          <w:rFonts w:ascii="Times New Roman" w:hAnsi="Times New Roman"/>
          <w:color w:val="333333"/>
          <w:sz w:val="24"/>
          <w:szCs w:val="24"/>
        </w:rPr>
        <w:t>Полтавского городского</w:t>
      </w:r>
      <w:r>
        <w:rPr>
          <w:rFonts w:ascii="Times New Roman" w:hAnsi="Times New Roman"/>
          <w:sz w:val="24"/>
          <w:szCs w:val="24"/>
        </w:rPr>
        <w:t xml:space="preserve"> поселения по состоянию на 01.01.202</w:t>
      </w:r>
      <w:r w:rsidR="006A455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года по налоговым платежам составила </w:t>
      </w:r>
      <w:r w:rsidR="00EC6C78">
        <w:rPr>
          <w:rFonts w:ascii="Times New Roman" w:hAnsi="Times New Roman"/>
          <w:sz w:val="24"/>
          <w:szCs w:val="24"/>
        </w:rPr>
        <w:t>427 374,09</w:t>
      </w:r>
      <w:r>
        <w:rPr>
          <w:rFonts w:ascii="Times New Roman" w:hAnsi="Times New Roman"/>
          <w:sz w:val="24"/>
          <w:szCs w:val="24"/>
        </w:rPr>
        <w:t xml:space="preserve"> рублей, по неналоговым платежам </w:t>
      </w:r>
      <w:r w:rsidR="00EC6C78">
        <w:rPr>
          <w:rFonts w:ascii="Times New Roman" w:hAnsi="Times New Roman"/>
          <w:sz w:val="24"/>
          <w:szCs w:val="24"/>
        </w:rPr>
        <w:t>6 161 172,58</w:t>
      </w:r>
      <w:r>
        <w:rPr>
          <w:rFonts w:ascii="Times New Roman" w:hAnsi="Times New Roman"/>
          <w:sz w:val="24"/>
          <w:szCs w:val="24"/>
        </w:rPr>
        <w:t xml:space="preserve"> рублей. </w:t>
      </w:r>
    </w:p>
    <w:p w:rsidR="00B62C34" w:rsidRDefault="00650BFF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Расходы бюджета исполнены в сумме </w:t>
      </w:r>
      <w:r w:rsidR="00EC6C78">
        <w:rPr>
          <w:rFonts w:ascii="Times New Roman" w:hAnsi="Times New Roman"/>
          <w:sz w:val="24"/>
          <w:szCs w:val="24"/>
        </w:rPr>
        <w:t>32 862 713,66</w:t>
      </w:r>
      <w:r>
        <w:rPr>
          <w:rFonts w:ascii="Times New Roman" w:hAnsi="Times New Roman"/>
          <w:sz w:val="24"/>
          <w:szCs w:val="24"/>
        </w:rPr>
        <w:t xml:space="preserve"> рублей  или 94,</w:t>
      </w:r>
      <w:r w:rsidR="00EC6C78">
        <w:rPr>
          <w:rFonts w:ascii="Times New Roman" w:hAnsi="Times New Roman"/>
          <w:sz w:val="24"/>
          <w:szCs w:val="24"/>
        </w:rPr>
        <w:t>81</w:t>
      </w:r>
      <w:r>
        <w:rPr>
          <w:rFonts w:ascii="Times New Roman" w:hAnsi="Times New Roman"/>
          <w:sz w:val="24"/>
          <w:szCs w:val="24"/>
        </w:rPr>
        <w:t>%. Основная  доля расходов бюджета поселения приходится на разделы  «Национальная экономика,</w:t>
      </w:r>
      <w:r w:rsidR="00EC6C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«Жилищно-коммунальное хозяйство, «Общегосударственные вопросы».</w:t>
      </w:r>
    </w:p>
    <w:p w:rsidR="00B62C34" w:rsidRDefault="00650BFF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 При исполнении бюджета поселения по завершению финансового года сложился </w:t>
      </w:r>
      <w:proofErr w:type="spellStart"/>
      <w:r>
        <w:rPr>
          <w:rFonts w:eastAsia="Calibri"/>
        </w:rPr>
        <w:t>профицит</w:t>
      </w:r>
      <w:proofErr w:type="spellEnd"/>
      <w:r>
        <w:rPr>
          <w:rFonts w:eastAsia="Calibri"/>
        </w:rPr>
        <w:t xml:space="preserve"> в размере </w:t>
      </w:r>
      <w:r w:rsidR="00EC6C78">
        <w:rPr>
          <w:rFonts w:eastAsia="Calibri"/>
        </w:rPr>
        <w:t>777 059,61</w:t>
      </w:r>
      <w:r>
        <w:rPr>
          <w:rFonts w:eastAsia="Calibri"/>
        </w:rPr>
        <w:t xml:space="preserve"> рублей, который направлен на увеличение остатков средств на счетах по учету средств местного бюджета.</w:t>
      </w:r>
    </w:p>
    <w:p w:rsidR="00B62C34" w:rsidRDefault="00650BFF">
      <w:pPr>
        <w:ind w:firstLine="709"/>
        <w:jc w:val="both"/>
        <w:rPr>
          <w:rFonts w:eastAsia="Calibri"/>
        </w:rPr>
      </w:pPr>
      <w:r>
        <w:rPr>
          <w:rFonts w:eastAsia="Calibri"/>
        </w:rPr>
        <w:t>5. В общем объеме расходов бюджета поселения удельный вес расходов на реализацию муниципальных программ составил 9</w:t>
      </w:r>
      <w:r w:rsidR="00EC6C78">
        <w:rPr>
          <w:rFonts w:eastAsia="Calibri"/>
        </w:rPr>
        <w:t>7</w:t>
      </w:r>
      <w:r>
        <w:rPr>
          <w:rFonts w:eastAsia="Calibri"/>
        </w:rPr>
        <w:t>,</w:t>
      </w:r>
      <w:r w:rsidR="00EC6C78">
        <w:rPr>
          <w:rFonts w:eastAsia="Calibri"/>
        </w:rPr>
        <w:t>29</w:t>
      </w:r>
      <w:r>
        <w:rPr>
          <w:rFonts w:eastAsia="Calibri"/>
        </w:rPr>
        <w:t>%.</w:t>
      </w:r>
    </w:p>
    <w:p w:rsidR="00B62C34" w:rsidRDefault="00EC6C78">
      <w:pPr>
        <w:ind w:firstLine="709"/>
        <w:jc w:val="both"/>
      </w:pPr>
      <w:r>
        <w:rPr>
          <w:rFonts w:eastAsia="Calibri"/>
        </w:rPr>
        <w:t>6. В 2022</w:t>
      </w:r>
      <w:r w:rsidR="00650BFF">
        <w:rPr>
          <w:rFonts w:eastAsia="Calibri"/>
        </w:rPr>
        <w:t xml:space="preserve"> году расходы дорожного фонда исполнены </w:t>
      </w:r>
      <w:proofErr w:type="gramStart"/>
      <w:r w:rsidR="00650BFF">
        <w:rPr>
          <w:rFonts w:eastAsia="Calibri"/>
        </w:rPr>
        <w:t xml:space="preserve">в  полном объеме </w:t>
      </w:r>
      <w:r w:rsidR="00650BFF">
        <w:t>по целевому назначению в соответствии с Положением о дорожном фонде</w:t>
      </w:r>
      <w:proofErr w:type="gramEnd"/>
      <w:r w:rsidR="00650BFF">
        <w:t>.</w:t>
      </w:r>
    </w:p>
    <w:p w:rsidR="00B62C34" w:rsidRDefault="00650BFF">
      <w:pPr>
        <w:ind w:firstLine="709"/>
        <w:jc w:val="both"/>
        <w:rPr>
          <w:rFonts w:eastAsia="Calibri"/>
        </w:rPr>
      </w:pPr>
      <w:r>
        <w:t xml:space="preserve">7. </w:t>
      </w:r>
      <w:proofErr w:type="spellStart"/>
      <w:r>
        <w:t>Резерный</w:t>
      </w:r>
      <w:proofErr w:type="spellEnd"/>
      <w:r>
        <w:t xml:space="preserve"> фонд  использован в сумме </w:t>
      </w:r>
      <w:r w:rsidR="00EC6C78">
        <w:t>50</w:t>
      </w:r>
      <w:r>
        <w:t xml:space="preserve"> 000,00 рублей </w:t>
      </w:r>
      <w:proofErr w:type="gramStart"/>
      <w:r>
        <w:t>согласно распоряжений</w:t>
      </w:r>
      <w:proofErr w:type="gramEnd"/>
      <w:r>
        <w:t xml:space="preserve"> администрации в соответствии с Порядком использования резервного фонда.</w:t>
      </w:r>
    </w:p>
    <w:p w:rsidR="00B62C34" w:rsidRDefault="00650BFF">
      <w:pPr>
        <w:tabs>
          <w:tab w:val="left" w:pos="851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8. В результате внешней проверки бюджетная отчетность </w:t>
      </w:r>
      <w:r>
        <w:rPr>
          <w:color w:val="333333"/>
        </w:rPr>
        <w:t>Полтавского городского</w:t>
      </w:r>
      <w:r w:rsidR="00EC6C78">
        <w:rPr>
          <w:color w:val="333333"/>
        </w:rPr>
        <w:t xml:space="preserve"> </w:t>
      </w:r>
      <w:r>
        <w:rPr>
          <w:rFonts w:eastAsia="Calibri"/>
        </w:rPr>
        <w:t>поселения  признана достоверной.</w:t>
      </w:r>
    </w:p>
    <w:p w:rsidR="00B62C34" w:rsidRDefault="00650BFF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9. Проект решения Совета депутатов </w:t>
      </w:r>
      <w:r>
        <w:rPr>
          <w:color w:val="333333"/>
        </w:rPr>
        <w:t xml:space="preserve">Полтавского городского </w:t>
      </w:r>
      <w:r>
        <w:rPr>
          <w:rFonts w:eastAsia="Calibri"/>
        </w:rPr>
        <w:t>поселения «Об исполнении бюджета за 202</w:t>
      </w:r>
      <w:r w:rsidR="00EC6C78">
        <w:rPr>
          <w:rFonts w:eastAsia="Calibri"/>
        </w:rPr>
        <w:t>2</w:t>
      </w:r>
      <w:r>
        <w:rPr>
          <w:rFonts w:eastAsia="Calibri"/>
        </w:rPr>
        <w:t xml:space="preserve"> год» отражает достоверно кассовое исполнение доходов, расходов и источников финансирования дефицита бюджета поселения за период с 01 января по 31 декабря 202</w:t>
      </w:r>
      <w:r w:rsidR="00EC6C78">
        <w:rPr>
          <w:rFonts w:eastAsia="Calibri"/>
        </w:rPr>
        <w:t>2</w:t>
      </w:r>
      <w:r>
        <w:rPr>
          <w:rFonts w:eastAsia="Calibri"/>
        </w:rPr>
        <w:t xml:space="preserve"> года.  </w:t>
      </w:r>
    </w:p>
    <w:p w:rsidR="00B62C34" w:rsidRDefault="00650BFF">
      <w:pPr>
        <w:ind w:firstLine="709"/>
        <w:jc w:val="both"/>
        <w:rPr>
          <w:i/>
          <w:iCs/>
        </w:rPr>
      </w:pPr>
      <w:r>
        <w:rPr>
          <w:i/>
          <w:iCs/>
        </w:rPr>
        <w:t xml:space="preserve">Контрольно-счетный орган муниципального образования считает возможным предложить Совету депутатов рассмотреть  отчет  «об исполнении бюджета </w:t>
      </w:r>
      <w:r>
        <w:rPr>
          <w:i/>
          <w:color w:val="333333"/>
        </w:rPr>
        <w:t xml:space="preserve">Полтавского городского </w:t>
      </w:r>
      <w:r>
        <w:rPr>
          <w:i/>
          <w:iCs/>
        </w:rPr>
        <w:t>поселения за 202</w:t>
      </w:r>
      <w:r w:rsidR="00EC6C78">
        <w:rPr>
          <w:i/>
          <w:iCs/>
        </w:rPr>
        <w:t>2</w:t>
      </w:r>
      <w:r>
        <w:rPr>
          <w:i/>
          <w:iCs/>
        </w:rPr>
        <w:t xml:space="preserve"> год».</w:t>
      </w:r>
    </w:p>
    <w:p w:rsidR="001A7CEA" w:rsidRDefault="001A7CEA">
      <w:pPr>
        <w:ind w:firstLine="709"/>
        <w:jc w:val="both"/>
        <w:rPr>
          <w:i/>
          <w:iCs/>
        </w:rPr>
      </w:pPr>
    </w:p>
    <w:p w:rsidR="001A7CEA" w:rsidRDefault="001A7CEA">
      <w:pPr>
        <w:ind w:firstLine="709"/>
        <w:jc w:val="both"/>
        <w:rPr>
          <w:i/>
          <w:iCs/>
        </w:rPr>
      </w:pPr>
    </w:p>
    <w:p w:rsidR="00B62C34" w:rsidRDefault="00650BFF">
      <w:pPr>
        <w:jc w:val="both"/>
      </w:pPr>
      <w:r>
        <w:t xml:space="preserve">Председатель </w:t>
      </w:r>
      <w:r w:rsidR="00EC6C78">
        <w:t xml:space="preserve">                                                                                               </w:t>
      </w:r>
      <w:r>
        <w:t>Е.В.Галаган</w:t>
      </w:r>
    </w:p>
    <w:sectPr w:rsidR="00B62C34" w:rsidSect="00B62C34">
      <w:headerReference w:type="default" r:id="rId8"/>
      <w:headerReference w:type="first" r:id="rId9"/>
      <w:pgSz w:w="11906" w:h="16838"/>
      <w:pgMar w:top="1134" w:right="850" w:bottom="1134" w:left="1701" w:header="567" w:footer="567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723" w:rsidRDefault="00F06723" w:rsidP="00B62C34">
      <w:r>
        <w:separator/>
      </w:r>
    </w:p>
  </w:endnote>
  <w:endnote w:type="continuationSeparator" w:id="0">
    <w:p w:rsidR="00F06723" w:rsidRDefault="00F06723" w:rsidP="00B62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80"/>
    <w:family w:val="swiss"/>
    <w:notTrueType/>
    <w:pitch w:val="variable"/>
    <w:sig w:usb0="30000287" w:usb1="2BDF3C10" w:usb2="00000016" w:usb3="00000000" w:csb0="002E0107" w:csb1="00000000"/>
  </w:font>
  <w:font w:name="Lohit Devanagari">
    <w:altName w:val="Arial"/>
    <w:charset w:val="00"/>
    <w:family w:val="swiss"/>
    <w:pitch w:val="variable"/>
    <w:sig w:usb0="00000003" w:usb1="00002042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723" w:rsidRDefault="00F06723" w:rsidP="00B62C34">
      <w:r>
        <w:separator/>
      </w:r>
    </w:p>
  </w:footnote>
  <w:footnote w:type="continuationSeparator" w:id="0">
    <w:p w:rsidR="00F06723" w:rsidRDefault="00F06723" w:rsidP="00B62C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A0D" w:rsidRDefault="00510A0D">
    <w:pPr>
      <w:pStyle w:val="Header"/>
      <w:tabs>
        <w:tab w:val="left" w:pos="782"/>
      </w:tabs>
    </w:pPr>
    <w:r>
      <w:tab/>
    </w:r>
    <w:r>
      <w:tab/>
    </w:r>
    <w:fldSimple w:instr="PAGE">
      <w:r w:rsidR="00EE5CC4">
        <w:rPr>
          <w:noProof/>
        </w:rPr>
        <w:t>2</w:t>
      </w:r>
    </w:fldSimple>
  </w:p>
  <w:p w:rsidR="00510A0D" w:rsidRDefault="00510A0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A0D" w:rsidRDefault="00EE0133">
    <w:pPr>
      <w:pStyle w:val="Header"/>
      <w:jc w:val="center"/>
    </w:pPr>
    <w:fldSimple w:instr="PAGE">
      <w:r w:rsidR="00EE5CC4">
        <w:rPr>
          <w:noProof/>
        </w:rPr>
        <w:t>1</w:t>
      </w:r>
    </w:fldSimple>
  </w:p>
  <w:p w:rsidR="00510A0D" w:rsidRDefault="00510A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06BAA"/>
    <w:multiLevelType w:val="multilevel"/>
    <w:tmpl w:val="9B5EE076"/>
    <w:lvl w:ilvl="0">
      <w:start w:val="1"/>
      <w:numFmt w:val="decimal"/>
      <w:lvlText w:val="%1."/>
      <w:lvlJc w:val="left"/>
      <w:pPr>
        <w:tabs>
          <w:tab w:val="num" w:pos="0"/>
        </w:tabs>
        <w:ind w:left="33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7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8" w:hanging="180"/>
      </w:pPr>
    </w:lvl>
  </w:abstractNum>
  <w:abstractNum w:abstractNumId="1">
    <w:nsid w:val="50726444"/>
    <w:multiLevelType w:val="multilevel"/>
    <w:tmpl w:val="7CFAFAB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">
    <w:nsid w:val="53C7489D"/>
    <w:multiLevelType w:val="multilevel"/>
    <w:tmpl w:val="FB00D8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A7D4205"/>
    <w:multiLevelType w:val="multilevel"/>
    <w:tmpl w:val="FA94BC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C34"/>
    <w:rsid w:val="000275B6"/>
    <w:rsid w:val="0005598F"/>
    <w:rsid w:val="000D5447"/>
    <w:rsid w:val="000F1DFC"/>
    <w:rsid w:val="00132E28"/>
    <w:rsid w:val="001550CF"/>
    <w:rsid w:val="001A7CEA"/>
    <w:rsid w:val="002361F4"/>
    <w:rsid w:val="0023721C"/>
    <w:rsid w:val="0025141D"/>
    <w:rsid w:val="002A0250"/>
    <w:rsid w:val="002D2D7C"/>
    <w:rsid w:val="0030546B"/>
    <w:rsid w:val="00314D1F"/>
    <w:rsid w:val="0036332C"/>
    <w:rsid w:val="00367CAB"/>
    <w:rsid w:val="003C005A"/>
    <w:rsid w:val="004761B2"/>
    <w:rsid w:val="004B2B89"/>
    <w:rsid w:val="004E14D2"/>
    <w:rsid w:val="00510A0D"/>
    <w:rsid w:val="005841AA"/>
    <w:rsid w:val="00591F72"/>
    <w:rsid w:val="00606449"/>
    <w:rsid w:val="006303F3"/>
    <w:rsid w:val="00650BFF"/>
    <w:rsid w:val="006876F2"/>
    <w:rsid w:val="006965E9"/>
    <w:rsid w:val="006A455B"/>
    <w:rsid w:val="006A74DD"/>
    <w:rsid w:val="006D35F1"/>
    <w:rsid w:val="007C26C1"/>
    <w:rsid w:val="00823DF9"/>
    <w:rsid w:val="008A42F4"/>
    <w:rsid w:val="00902CC8"/>
    <w:rsid w:val="00A5557E"/>
    <w:rsid w:val="00AA1B0C"/>
    <w:rsid w:val="00AD4CDC"/>
    <w:rsid w:val="00B15262"/>
    <w:rsid w:val="00B35BE8"/>
    <w:rsid w:val="00B62C34"/>
    <w:rsid w:val="00B80FA9"/>
    <w:rsid w:val="00BC02D3"/>
    <w:rsid w:val="00C13AF5"/>
    <w:rsid w:val="00CE4D85"/>
    <w:rsid w:val="00CF4800"/>
    <w:rsid w:val="00E80088"/>
    <w:rsid w:val="00EC6C78"/>
    <w:rsid w:val="00ED542A"/>
    <w:rsid w:val="00EE0133"/>
    <w:rsid w:val="00EE5CC4"/>
    <w:rsid w:val="00F02775"/>
    <w:rsid w:val="00F03827"/>
    <w:rsid w:val="00F06723"/>
    <w:rsid w:val="00F440CC"/>
    <w:rsid w:val="00F93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0D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sid w:val="006111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qFormat/>
    <w:rsid w:val="00936EEC"/>
    <w:rPr>
      <w:sz w:val="24"/>
      <w:szCs w:val="24"/>
    </w:rPr>
  </w:style>
  <w:style w:type="character" w:customStyle="1" w:styleId="a5">
    <w:name w:val="Нижний колонтитул Знак"/>
    <w:uiPriority w:val="99"/>
    <w:qFormat/>
    <w:rsid w:val="00936EEC"/>
    <w:rPr>
      <w:sz w:val="24"/>
      <w:szCs w:val="24"/>
    </w:rPr>
  </w:style>
  <w:style w:type="character" w:styleId="a6">
    <w:name w:val="Strong"/>
    <w:qFormat/>
    <w:rsid w:val="005F4098"/>
    <w:rPr>
      <w:b/>
      <w:bCs/>
    </w:rPr>
  </w:style>
  <w:style w:type="character" w:customStyle="1" w:styleId="a7">
    <w:name w:val="Гипертекстовая ссылка"/>
    <w:basedOn w:val="a0"/>
    <w:uiPriority w:val="99"/>
    <w:qFormat/>
    <w:rsid w:val="00154D57"/>
    <w:rPr>
      <w:color w:val="106BBE"/>
    </w:rPr>
  </w:style>
  <w:style w:type="character" w:customStyle="1" w:styleId="3">
    <w:name w:val="Основной текст с отступом 3 Знак"/>
    <w:basedOn w:val="a0"/>
    <w:link w:val="3"/>
    <w:qFormat/>
    <w:rsid w:val="00DE4594"/>
    <w:rPr>
      <w:rFonts w:eastAsia="Calibri"/>
      <w:sz w:val="24"/>
    </w:rPr>
  </w:style>
  <w:style w:type="paragraph" w:customStyle="1" w:styleId="a8">
    <w:name w:val="Заголовок"/>
    <w:basedOn w:val="a"/>
    <w:next w:val="a9"/>
    <w:qFormat/>
    <w:rsid w:val="00B45F5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9">
    <w:name w:val="Body Text"/>
    <w:basedOn w:val="a"/>
    <w:rsid w:val="00B45F51"/>
    <w:pPr>
      <w:spacing w:after="140" w:line="276" w:lineRule="auto"/>
    </w:pPr>
  </w:style>
  <w:style w:type="paragraph" w:styleId="aa">
    <w:name w:val="List"/>
    <w:basedOn w:val="a9"/>
    <w:rsid w:val="00B45F51"/>
    <w:rPr>
      <w:rFonts w:cs="Lohit Devanagari"/>
    </w:rPr>
  </w:style>
  <w:style w:type="paragraph" w:customStyle="1" w:styleId="Caption">
    <w:name w:val="Caption"/>
    <w:basedOn w:val="a"/>
    <w:qFormat/>
    <w:rsid w:val="00B45F51"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rsid w:val="00B45F51"/>
    <w:pPr>
      <w:suppressLineNumbers/>
    </w:pPr>
    <w:rPr>
      <w:rFonts w:cs="Lohit Devanagari"/>
    </w:rPr>
  </w:style>
  <w:style w:type="paragraph" w:styleId="ac">
    <w:name w:val="List Paragraph"/>
    <w:basedOn w:val="a"/>
    <w:uiPriority w:val="34"/>
    <w:qFormat/>
    <w:rsid w:val="006C10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"/>
    <w:qFormat/>
    <w:rsid w:val="006111A4"/>
    <w:rPr>
      <w:rFonts w:ascii="Tahoma" w:hAnsi="Tahoma"/>
      <w:sz w:val="16"/>
      <w:szCs w:val="16"/>
    </w:rPr>
  </w:style>
  <w:style w:type="paragraph" w:customStyle="1" w:styleId="ae">
    <w:name w:val="Верхний и нижний колонтитулы"/>
    <w:basedOn w:val="a"/>
    <w:qFormat/>
    <w:rsid w:val="00B45F51"/>
  </w:style>
  <w:style w:type="paragraph" w:customStyle="1" w:styleId="Header">
    <w:name w:val="Header"/>
    <w:basedOn w:val="a"/>
    <w:uiPriority w:val="99"/>
    <w:rsid w:val="00936EEC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rsid w:val="00936E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BB40CC"/>
    <w:pPr>
      <w:widowControl w:val="0"/>
      <w:ind w:firstLine="720"/>
    </w:pPr>
    <w:rPr>
      <w:rFonts w:ascii="Arial" w:hAnsi="Arial" w:cs="Arial"/>
      <w:sz w:val="24"/>
    </w:rPr>
  </w:style>
  <w:style w:type="paragraph" w:styleId="af">
    <w:name w:val="Normal (Web)"/>
    <w:basedOn w:val="a"/>
    <w:uiPriority w:val="99"/>
    <w:unhideWhenUsed/>
    <w:qFormat/>
    <w:rsid w:val="0021444B"/>
    <w:pPr>
      <w:spacing w:beforeAutospacing="1" w:afterAutospacing="1"/>
    </w:pPr>
  </w:style>
  <w:style w:type="paragraph" w:styleId="30">
    <w:name w:val="Body Text Indent 3"/>
    <w:basedOn w:val="a"/>
    <w:qFormat/>
    <w:rsid w:val="00DE4594"/>
    <w:pPr>
      <w:ind w:left="142" w:hanging="142"/>
      <w:jc w:val="both"/>
    </w:pPr>
    <w:rPr>
      <w:rFonts w:eastAsia="Calibri"/>
      <w:szCs w:val="20"/>
    </w:rPr>
  </w:style>
  <w:style w:type="table" w:styleId="af0">
    <w:name w:val="Table Grid"/>
    <w:basedOn w:val="a1"/>
    <w:rsid w:val="00E47C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B80FA9"/>
    <w:pPr>
      <w:suppressAutoHyphens w:val="0"/>
      <w:spacing w:before="100" w:beforeAutospacing="1" w:after="119"/>
    </w:pPr>
  </w:style>
  <w:style w:type="paragraph" w:customStyle="1" w:styleId="ConsTitle">
    <w:name w:val="ConsTitle"/>
    <w:rsid w:val="00ED542A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1">
    <w:name w:val="No Spacing"/>
    <w:uiPriority w:val="1"/>
    <w:qFormat/>
    <w:rsid w:val="00ED542A"/>
    <w:pPr>
      <w:suppressAutoHyphens w:val="0"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header"/>
    <w:basedOn w:val="a"/>
    <w:link w:val="1"/>
    <w:uiPriority w:val="99"/>
    <w:rsid w:val="00F02775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f2"/>
    <w:uiPriority w:val="99"/>
    <w:rsid w:val="00F02775"/>
    <w:rPr>
      <w:sz w:val="24"/>
      <w:szCs w:val="24"/>
    </w:rPr>
  </w:style>
  <w:style w:type="paragraph" w:styleId="af3">
    <w:name w:val="footer"/>
    <w:basedOn w:val="a"/>
    <w:link w:val="10"/>
    <w:uiPriority w:val="99"/>
    <w:rsid w:val="00F02775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0"/>
    <w:link w:val="af3"/>
    <w:uiPriority w:val="99"/>
    <w:rsid w:val="00F0277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D6E1C-5A56-4027-AE68-AD1685CD2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8</Pages>
  <Words>3055</Words>
  <Characters>17416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ADM_PGP</cp:lastModifiedBy>
  <cp:revision>41</cp:revision>
  <cp:lastPrinted>2023-04-24T05:19:00Z</cp:lastPrinted>
  <dcterms:created xsi:type="dcterms:W3CDTF">2022-04-24T04:22:00Z</dcterms:created>
  <dcterms:modified xsi:type="dcterms:W3CDTF">2023-04-27T09:51:00Z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MoBIL GROUP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